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91" w:rsidRDefault="00A11591" w:rsidP="00165665">
      <w:pPr>
        <w:pStyle w:val="AuthorList"/>
        <w:rPr>
          <w:rFonts w:cs="Arial"/>
          <w:b/>
          <w:bCs/>
          <w:caps/>
          <w:kern w:val="32"/>
          <w:sz w:val="28"/>
          <w:szCs w:val="32"/>
        </w:rPr>
      </w:pPr>
      <w:r w:rsidRPr="00A11591">
        <w:rPr>
          <w:rFonts w:cs="Arial"/>
          <w:b/>
          <w:bCs/>
          <w:caps/>
          <w:kern w:val="32"/>
          <w:sz w:val="28"/>
          <w:szCs w:val="32"/>
        </w:rPr>
        <w:t>What are the consequences of delaying the shutdown from 2012 to 2013 for Radiation Protection?</w:t>
      </w:r>
    </w:p>
    <w:p w:rsidR="00165665" w:rsidRPr="009B15A2" w:rsidRDefault="00BB5382" w:rsidP="00165665">
      <w:pPr>
        <w:pStyle w:val="AuthorList"/>
        <w:rPr>
          <w:kern w:val="16"/>
          <w:lang w:val="fr-FR"/>
        </w:rPr>
        <w:sectPr w:rsidR="00165665" w:rsidRPr="009B15A2"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Pr>
          <w:kern w:val="16"/>
          <w:lang w:val="fr-FR"/>
        </w:rPr>
        <w:t xml:space="preserve">C. </w:t>
      </w:r>
      <w:proofErr w:type="spellStart"/>
      <w:r>
        <w:rPr>
          <w:kern w:val="16"/>
          <w:lang w:val="fr-FR"/>
        </w:rPr>
        <w:t>Adorisio</w:t>
      </w:r>
      <w:proofErr w:type="spellEnd"/>
      <w:r>
        <w:rPr>
          <w:kern w:val="16"/>
          <w:lang w:val="fr-FR"/>
        </w:rPr>
        <w:t>, D. Forkel-Wirth, S. Roesler</w:t>
      </w:r>
      <w:r w:rsidR="00165665" w:rsidRPr="009B15A2">
        <w:rPr>
          <w:kern w:val="16"/>
          <w:vertAlign w:val="superscript"/>
          <w:lang w:val="fr-FR"/>
        </w:rPr>
        <w:t>#</w:t>
      </w:r>
      <w:r w:rsidR="00165665" w:rsidRPr="009B15A2">
        <w:rPr>
          <w:kern w:val="16"/>
          <w:lang w:val="fr-FR"/>
        </w:rPr>
        <w:t xml:space="preserve">, </w:t>
      </w:r>
      <w:r w:rsidRPr="00BB5382">
        <w:rPr>
          <w:kern w:val="16"/>
          <w:lang w:val="fr-FR"/>
        </w:rPr>
        <w:t xml:space="preserve">CERN, Geneva, </w:t>
      </w:r>
      <w:proofErr w:type="spellStart"/>
      <w:r w:rsidRPr="00BB5382">
        <w:rPr>
          <w:kern w:val="16"/>
          <w:lang w:val="fr-FR"/>
        </w:rPr>
        <w:t>Switzerland</w:t>
      </w:r>
      <w:proofErr w:type="spellEnd"/>
    </w:p>
    <w:p w:rsidR="00165665" w:rsidRDefault="00165665" w:rsidP="00165665">
      <w:pPr>
        <w:pStyle w:val="AbstractTitle"/>
        <w:rPr>
          <w:kern w:val="16"/>
        </w:rPr>
      </w:pPr>
      <w:r>
        <w:rPr>
          <w:kern w:val="16"/>
        </w:rPr>
        <w:lastRenderedPageBreak/>
        <w:t>Abstract</w:t>
      </w:r>
    </w:p>
    <w:p w:rsidR="00C24AE1" w:rsidRDefault="00A11591" w:rsidP="00A11591">
      <w:pPr>
        <w:pStyle w:val="BodyTextIndent"/>
      </w:pPr>
      <w:r>
        <w:t>The residual induced radio</w:t>
      </w:r>
      <w:r w:rsidRPr="00A11591">
        <w:t>activity in the</w:t>
      </w:r>
      <w:r>
        <w:t xml:space="preserve"> LHC underground areas in 2012 </w:t>
      </w:r>
      <w:r w:rsidRPr="00A11591">
        <w:t xml:space="preserve">will </w:t>
      </w:r>
      <w:r>
        <w:t>is</w:t>
      </w:r>
      <w:r w:rsidRPr="00A11591">
        <w:t xml:space="preserve"> estimated</w:t>
      </w:r>
      <w:r>
        <w:t xml:space="preserve"> and </w:t>
      </w:r>
      <w:r w:rsidRPr="00A11591">
        <w:t>compared with the levels</w:t>
      </w:r>
      <w:r>
        <w:t xml:space="preserve"> that would be expected in 2013. </w:t>
      </w:r>
      <w:r w:rsidRPr="00A11591">
        <w:t xml:space="preserve">With these estimations consequences of delaying the shutdown from 2012 to 2013 will be </w:t>
      </w:r>
      <w:r>
        <w:t>assessed</w:t>
      </w:r>
      <w:r w:rsidRPr="00A11591">
        <w:t>.</w:t>
      </w:r>
      <w:r w:rsidR="00C24AE1">
        <w:t xml:space="preserve"> </w:t>
      </w:r>
    </w:p>
    <w:p w:rsidR="00A11591" w:rsidRPr="00C24AE1" w:rsidRDefault="00C24AE1" w:rsidP="00A11591">
      <w:pPr>
        <w:pStyle w:val="BodyTextIndent"/>
        <w:rPr>
          <w:b/>
        </w:rPr>
      </w:pPr>
      <w:r w:rsidRPr="00C24AE1">
        <w:rPr>
          <w:b/>
        </w:rPr>
        <w:t>The present paper summarizes only the main conclusions. A detailed discussion</w:t>
      </w:r>
      <w:r>
        <w:rPr>
          <w:b/>
        </w:rPr>
        <w:t xml:space="preserve"> can be found elsewhere in these Proceedings</w:t>
      </w:r>
      <w:r w:rsidRPr="00C24AE1">
        <w:rPr>
          <w:b/>
        </w:rPr>
        <w:t xml:space="preserve"> [1].</w:t>
      </w:r>
    </w:p>
    <w:p w:rsidR="00A11591" w:rsidRDefault="00A11591" w:rsidP="00A11591">
      <w:pPr>
        <w:pStyle w:val="Heading2"/>
        <w:spacing w:before="180"/>
      </w:pPr>
      <w:r>
        <w:t>conclusions</w:t>
      </w:r>
    </w:p>
    <w:p w:rsidR="00A11591" w:rsidRDefault="00A11591" w:rsidP="00A11591">
      <w:pPr>
        <w:pStyle w:val="BodyTextIndent"/>
        <w:rPr>
          <w:kern w:val="16"/>
        </w:rPr>
      </w:pPr>
      <w:r>
        <w:rPr>
          <w:kern w:val="16"/>
        </w:rPr>
        <w:t>Based on the operational scenarios for the LHC during the years 2011/12 [2] (see Table 1), beam-intensity-dependent activation and residual dose rates are expected to increase by about a factor of 4-7 during the 2011 run and by another factor of two during 2012</w:t>
      </w:r>
      <w:r w:rsidR="00C24AE1">
        <w:rPr>
          <w:kern w:val="16"/>
        </w:rPr>
        <w:t xml:space="preserve"> [1] (see Table 2)</w:t>
      </w:r>
      <w:r>
        <w:rPr>
          <w:kern w:val="16"/>
        </w:rPr>
        <w:t>. Thus, radiation protection constraints and recommendations for shutdowns in 2012 and 2013 are quite similar. Of course, it assumes that losses scale linearly with beam intensity and neglects the contributions from scrubbing or ion runs. The luminosity-dependent activation (mainly the detectors and inner triplets) will increase by a factor of 20-100 until 2013.</w:t>
      </w:r>
    </w:p>
    <w:p w:rsidR="00A11591" w:rsidRDefault="00A11591" w:rsidP="00A11591">
      <w:pPr>
        <w:pStyle w:val="TableCaption"/>
        <w:rPr>
          <w:kern w:val="16"/>
        </w:rPr>
      </w:pPr>
      <w:proofErr w:type="gramStart"/>
      <w:r>
        <w:rPr>
          <w:kern w:val="16"/>
        </w:rPr>
        <w:t>Table 1: Operational parameters [1].</w:t>
      </w:r>
      <w:proofErr w:type="gramEnd"/>
    </w:p>
    <w:p w:rsidR="00A11591" w:rsidRDefault="00A11591" w:rsidP="00A11591">
      <w:pPr>
        <w:pStyle w:val="BodyTextIndent"/>
        <w:ind w:firstLine="0"/>
        <w:rPr>
          <w:kern w:val="16"/>
        </w:rPr>
      </w:pPr>
      <w:r w:rsidRPr="00A11591">
        <w:rPr>
          <w:kern w:val="16"/>
        </w:rPr>
        <w:drawing>
          <wp:inline distT="0" distB="0" distL="0" distR="0">
            <wp:extent cx="2968625" cy="868502"/>
            <wp:effectExtent l="19050" t="0" r="3175" b="0"/>
            <wp:docPr id="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srcRect/>
                    <a:stretch>
                      <a:fillRect/>
                    </a:stretch>
                  </pic:blipFill>
                  <pic:spPr bwMode="auto">
                    <a:xfrm>
                      <a:off x="0" y="0"/>
                      <a:ext cx="2968625" cy="868502"/>
                    </a:xfrm>
                    <a:prstGeom prst="rect">
                      <a:avLst/>
                    </a:prstGeom>
                    <a:noFill/>
                  </pic:spPr>
                </pic:pic>
              </a:graphicData>
            </a:graphic>
          </wp:inline>
        </w:drawing>
      </w:r>
    </w:p>
    <w:p w:rsidR="00C24AE1" w:rsidRDefault="00C24AE1" w:rsidP="00C24AE1">
      <w:pPr>
        <w:pStyle w:val="TableCaption"/>
        <w:jc w:val="both"/>
        <w:rPr>
          <w:kern w:val="16"/>
        </w:rPr>
      </w:pPr>
    </w:p>
    <w:p w:rsidR="00C24AE1" w:rsidRDefault="00C24AE1" w:rsidP="00C24AE1">
      <w:pPr>
        <w:pStyle w:val="TableCaption"/>
        <w:jc w:val="both"/>
        <w:rPr>
          <w:kern w:val="16"/>
        </w:rPr>
      </w:pPr>
      <w:r>
        <w:rPr>
          <w:kern w:val="16"/>
        </w:rPr>
        <w:t>Table 2: Scaling factors derived from operational parameters for short and long cooling times as well as obtained with the generic study for three dedicated cooling times [1].</w:t>
      </w:r>
    </w:p>
    <w:p w:rsidR="00A11591" w:rsidRDefault="00C24AE1" w:rsidP="00C24AE1">
      <w:pPr>
        <w:pStyle w:val="BodyTextIndent"/>
        <w:ind w:firstLine="0"/>
        <w:rPr>
          <w:kern w:val="16"/>
        </w:rPr>
      </w:pPr>
      <w:r w:rsidRPr="00C24AE1">
        <w:rPr>
          <w:kern w:val="16"/>
        </w:rPr>
        <w:drawing>
          <wp:inline distT="0" distB="0" distL="0" distR="0">
            <wp:extent cx="2968625" cy="1119555"/>
            <wp:effectExtent l="19050" t="0" r="3175"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2968625" cy="1119555"/>
                    </a:xfrm>
                    <a:prstGeom prst="rect">
                      <a:avLst/>
                    </a:prstGeom>
                    <a:noFill/>
                  </pic:spPr>
                </pic:pic>
              </a:graphicData>
            </a:graphic>
          </wp:inline>
        </w:drawing>
      </w:r>
    </w:p>
    <w:p w:rsidR="00C24AE1" w:rsidRDefault="00C24AE1" w:rsidP="00A11591">
      <w:pPr>
        <w:pStyle w:val="BodyTextIndent"/>
        <w:rPr>
          <w:kern w:val="16"/>
        </w:rPr>
      </w:pPr>
    </w:p>
    <w:p w:rsidR="00A11591" w:rsidRDefault="00A11591" w:rsidP="00A11591">
      <w:pPr>
        <w:pStyle w:val="BodyTextIndent"/>
        <w:rPr>
          <w:kern w:val="16"/>
        </w:rPr>
      </w:pPr>
      <w:r w:rsidRPr="003C7DBB">
        <w:rPr>
          <w:kern w:val="16"/>
        </w:rPr>
        <w:t xml:space="preserve">Presently the entire LHC is classified as Supervised Radiation Area </w:t>
      </w:r>
      <w:r>
        <w:rPr>
          <w:kern w:val="16"/>
        </w:rPr>
        <w:t xml:space="preserve">[2] </w:t>
      </w:r>
      <w:r w:rsidRPr="003C7DBB">
        <w:rPr>
          <w:kern w:val="16"/>
        </w:rPr>
        <w:t>with low activation</w:t>
      </w:r>
      <w:r>
        <w:rPr>
          <w:kern w:val="16"/>
        </w:rPr>
        <w:t xml:space="preserve"> </w:t>
      </w:r>
      <w:r w:rsidRPr="003C7DBB">
        <w:rPr>
          <w:kern w:val="16"/>
        </w:rPr>
        <w:t>and dose rate levels (</w:t>
      </w:r>
      <w:r>
        <w:rPr>
          <w:kern w:val="16"/>
        </w:rPr>
        <w:t xml:space="preserve">January 2011: </w:t>
      </w:r>
      <w:r w:rsidRPr="003C7DBB">
        <w:rPr>
          <w:kern w:val="16"/>
        </w:rPr>
        <w:t>maxi</w:t>
      </w:r>
      <w:r>
        <w:rPr>
          <w:kern w:val="16"/>
        </w:rPr>
        <w:t>mum dose rate in the aisle: 3</w:t>
      </w:r>
      <w:r w:rsidRPr="003C7DBB">
        <w:rPr>
          <w:kern w:val="16"/>
          <w:lang w:val="el-GR"/>
        </w:rPr>
        <w:t>μ</w:t>
      </w:r>
      <w:proofErr w:type="spellStart"/>
      <w:r w:rsidRPr="003C7DBB">
        <w:rPr>
          <w:kern w:val="16"/>
        </w:rPr>
        <w:t>Sv</w:t>
      </w:r>
      <w:proofErr w:type="spellEnd"/>
      <w:r w:rsidRPr="003C7DBB">
        <w:rPr>
          <w:kern w:val="16"/>
        </w:rPr>
        <w:t xml:space="preserve">/h, </w:t>
      </w:r>
      <w:r>
        <w:rPr>
          <w:kern w:val="16"/>
        </w:rPr>
        <w:t xml:space="preserve">maximum dose rate on contact to a passive absorber in Point 7: </w:t>
      </w:r>
      <w:r w:rsidRPr="003C7DBB">
        <w:rPr>
          <w:kern w:val="16"/>
        </w:rPr>
        <w:t xml:space="preserve">70 </w:t>
      </w:r>
      <w:r w:rsidRPr="003C7DBB">
        <w:rPr>
          <w:kern w:val="16"/>
          <w:lang w:val="el-GR"/>
        </w:rPr>
        <w:t>μ</w:t>
      </w:r>
      <w:proofErr w:type="spellStart"/>
      <w:r>
        <w:rPr>
          <w:kern w:val="16"/>
        </w:rPr>
        <w:t>Sv</w:t>
      </w:r>
      <w:proofErr w:type="spellEnd"/>
      <w:r>
        <w:rPr>
          <w:kern w:val="16"/>
        </w:rPr>
        <w:t>/h). During technical stops and shutdowns in 2012 and 2013 a few limited areas (</w:t>
      </w:r>
      <w:r w:rsidRPr="003C7DBB">
        <w:rPr>
          <w:i/>
          <w:kern w:val="16"/>
        </w:rPr>
        <w:t>e.g</w:t>
      </w:r>
      <w:r>
        <w:rPr>
          <w:kern w:val="16"/>
        </w:rPr>
        <w:t xml:space="preserve">., </w:t>
      </w:r>
      <w:r>
        <w:rPr>
          <w:kern w:val="16"/>
        </w:rPr>
        <w:lastRenderedPageBreak/>
        <w:t>IR3/7) will have to be classified as Controlled Radiation Areas where job and dose planning is obligatory.</w:t>
      </w:r>
    </w:p>
    <w:p w:rsidR="00A11591" w:rsidRPr="003C7DBB" w:rsidRDefault="00A11591" w:rsidP="00A11591">
      <w:pPr>
        <w:pStyle w:val="BodyTextIndent"/>
        <w:rPr>
          <w:kern w:val="16"/>
        </w:rPr>
      </w:pPr>
      <w:r w:rsidRPr="003C7DBB">
        <w:rPr>
          <w:kern w:val="16"/>
        </w:rPr>
        <w:t xml:space="preserve">Residual dose rates in </w:t>
      </w:r>
      <w:r>
        <w:rPr>
          <w:kern w:val="16"/>
        </w:rPr>
        <w:t xml:space="preserve">the arcs after the 2012 run are </w:t>
      </w:r>
      <w:r w:rsidRPr="003C7DBB">
        <w:rPr>
          <w:kern w:val="16"/>
        </w:rPr>
        <w:t xml:space="preserve">estimated to be very low </w:t>
      </w:r>
      <w:r>
        <w:rPr>
          <w:kern w:val="16"/>
        </w:rPr>
        <w:t>(no</w:t>
      </w:r>
      <w:r w:rsidRPr="003C7DBB">
        <w:rPr>
          <w:kern w:val="16"/>
        </w:rPr>
        <w:t xml:space="preserve"> limitation in duration of work)</w:t>
      </w:r>
      <w:r w:rsidR="00C24AE1">
        <w:rPr>
          <w:kern w:val="16"/>
        </w:rPr>
        <w:t xml:space="preserve"> [1]</w:t>
      </w:r>
      <w:r w:rsidRPr="003C7DBB">
        <w:rPr>
          <w:kern w:val="16"/>
        </w:rPr>
        <w:t>.</w:t>
      </w:r>
      <w:r>
        <w:rPr>
          <w:kern w:val="16"/>
        </w:rPr>
        <w:t xml:space="preserve"> A few localised areas in the dispersion suppressor</w:t>
      </w:r>
      <w:r w:rsidRPr="003C7DBB">
        <w:rPr>
          <w:kern w:val="16"/>
        </w:rPr>
        <w:t xml:space="preserve"> regions (loss points</w:t>
      </w:r>
      <w:r>
        <w:rPr>
          <w:kern w:val="16"/>
        </w:rPr>
        <w:t xml:space="preserve"> of protons or heavy fragments</w:t>
      </w:r>
      <w:r w:rsidRPr="003C7DBB">
        <w:rPr>
          <w:kern w:val="16"/>
        </w:rPr>
        <w:t xml:space="preserve"> “leaking” from </w:t>
      </w:r>
      <w:r>
        <w:rPr>
          <w:kern w:val="16"/>
        </w:rPr>
        <w:t xml:space="preserve">the </w:t>
      </w:r>
      <w:r w:rsidRPr="003C7DBB">
        <w:rPr>
          <w:kern w:val="16"/>
        </w:rPr>
        <w:t xml:space="preserve">straight section) might show measurable residual dose rates (&lt;10 </w:t>
      </w:r>
      <w:r w:rsidRPr="003C7DBB">
        <w:rPr>
          <w:kern w:val="16"/>
          <w:lang w:val="el-GR"/>
        </w:rPr>
        <w:t>μ</w:t>
      </w:r>
      <w:proofErr w:type="spellStart"/>
      <w:r w:rsidRPr="003C7DBB">
        <w:rPr>
          <w:kern w:val="16"/>
        </w:rPr>
        <w:t>Sv</w:t>
      </w:r>
      <w:proofErr w:type="spellEnd"/>
      <w:r w:rsidRPr="003C7DBB">
        <w:rPr>
          <w:kern w:val="16"/>
        </w:rPr>
        <w:t>/h).</w:t>
      </w:r>
      <w:r>
        <w:rPr>
          <w:kern w:val="16"/>
        </w:rPr>
        <w:t xml:space="preserve"> </w:t>
      </w:r>
      <w:r w:rsidRPr="003C7DBB">
        <w:rPr>
          <w:kern w:val="16"/>
        </w:rPr>
        <w:t xml:space="preserve">Despite low residual dose rates in these areas, components might become </w:t>
      </w:r>
      <w:r>
        <w:rPr>
          <w:kern w:val="16"/>
        </w:rPr>
        <w:t>“radioactive”</w:t>
      </w:r>
      <w:r w:rsidRPr="003C7DBB">
        <w:rPr>
          <w:kern w:val="16"/>
        </w:rPr>
        <w:t xml:space="preserve"> according to CERN regulations and dissipation or incorporation of this radioactivity must be prevented (ALARA principle).</w:t>
      </w:r>
    </w:p>
    <w:p w:rsidR="00A11591" w:rsidRDefault="00A11591" w:rsidP="00A11591">
      <w:pPr>
        <w:pStyle w:val="BodyTextIndent"/>
        <w:rPr>
          <w:kern w:val="16"/>
        </w:rPr>
      </w:pPr>
      <w:r w:rsidRPr="003C7DBB">
        <w:rPr>
          <w:kern w:val="16"/>
        </w:rPr>
        <w:t xml:space="preserve">   Due to significant uncertainties it is important to continuously </w:t>
      </w:r>
      <w:r>
        <w:rPr>
          <w:kern w:val="16"/>
        </w:rPr>
        <w:t>monitor the evolution of</w:t>
      </w:r>
      <w:r w:rsidRPr="003C7DBB">
        <w:rPr>
          <w:kern w:val="16"/>
        </w:rPr>
        <w:t xml:space="preserve"> activation (</w:t>
      </w:r>
      <w:r w:rsidRPr="003C7DBB">
        <w:rPr>
          <w:i/>
          <w:iCs/>
          <w:kern w:val="16"/>
        </w:rPr>
        <w:t>e.g.</w:t>
      </w:r>
      <w:r w:rsidRPr="003C7DBB">
        <w:rPr>
          <w:kern w:val="16"/>
        </w:rPr>
        <w:t>, survey measurements, material samples) to be able to further optimise work plans and schedules. In areas where civil engineering will be required (</w:t>
      </w:r>
      <w:r w:rsidRPr="003C7DBB">
        <w:rPr>
          <w:i/>
          <w:iCs/>
          <w:kern w:val="16"/>
        </w:rPr>
        <w:t>e.g</w:t>
      </w:r>
      <w:r>
        <w:rPr>
          <w:kern w:val="16"/>
        </w:rPr>
        <w:t xml:space="preserve">., dispersion suppressor regions in IR3) </w:t>
      </w:r>
      <w:r w:rsidRPr="003C7DBB">
        <w:rPr>
          <w:kern w:val="16"/>
        </w:rPr>
        <w:t xml:space="preserve">concrete samples </w:t>
      </w:r>
      <w:r>
        <w:rPr>
          <w:kern w:val="16"/>
        </w:rPr>
        <w:t>should be placed</w:t>
      </w:r>
      <w:r w:rsidRPr="003C7DBB">
        <w:rPr>
          <w:kern w:val="16"/>
        </w:rPr>
        <w:t xml:space="preserve"> in order to demonstrate absence of activation</w:t>
      </w:r>
      <w:r>
        <w:rPr>
          <w:kern w:val="16"/>
        </w:rPr>
        <w:t xml:space="preserve"> prior to the work</w:t>
      </w:r>
      <w:r w:rsidRPr="003C7DBB">
        <w:rPr>
          <w:kern w:val="16"/>
        </w:rPr>
        <w:t>.</w:t>
      </w:r>
    </w:p>
    <w:p w:rsidR="00A11591" w:rsidRDefault="00A11591" w:rsidP="00A11591">
      <w:pPr>
        <w:pStyle w:val="Heading2"/>
      </w:pPr>
      <w:r>
        <w:t>References</w:t>
      </w:r>
    </w:p>
    <w:p w:rsidR="00C24AE1" w:rsidRPr="00A11591" w:rsidRDefault="00C24AE1" w:rsidP="00C24AE1">
      <w:pPr>
        <w:pStyle w:val="ReferenceTextChar"/>
      </w:pPr>
      <w:r>
        <w:t>[1</w:t>
      </w:r>
      <w:r w:rsidRPr="00E56880">
        <w:t>]</w:t>
      </w:r>
      <w:r w:rsidRPr="00E56880">
        <w:tab/>
      </w:r>
      <w:r w:rsidRPr="00A11591">
        <w:t xml:space="preserve">C. </w:t>
      </w:r>
      <w:proofErr w:type="spellStart"/>
      <w:r w:rsidRPr="00A11591">
        <w:t>Adorisio</w:t>
      </w:r>
      <w:proofErr w:type="spellEnd"/>
      <w:r w:rsidRPr="00A11591">
        <w:t>, D. Forkel-Wirth and S. Roesler, “Radiation Protection: How (radio</w:t>
      </w:r>
      <w:proofErr w:type="gramStart"/>
      <w:r w:rsidRPr="00A11591">
        <w:t>)active</w:t>
      </w:r>
      <w:proofErr w:type="gramEnd"/>
      <w:r w:rsidRPr="00A11591">
        <w:t xml:space="preserve"> are we going to be?”, this Proceedings (2011).</w:t>
      </w:r>
    </w:p>
    <w:p w:rsidR="00A11591" w:rsidRDefault="00A11591" w:rsidP="00A11591">
      <w:pPr>
        <w:pStyle w:val="ReferenceTextChar"/>
      </w:pPr>
      <w:r>
        <w:t>[2</w:t>
      </w:r>
      <w:r w:rsidRPr="00E56880">
        <w:t>]</w:t>
      </w:r>
      <w:r w:rsidRPr="00E56880">
        <w:tab/>
      </w:r>
      <w:r>
        <w:t>M. Lamont, private communication (2010).</w:t>
      </w:r>
    </w:p>
    <w:p w:rsidR="00165665" w:rsidRPr="00C24AE1" w:rsidRDefault="00A11591" w:rsidP="00C24AE1">
      <w:pPr>
        <w:pStyle w:val="ReferenceTextChar"/>
        <w:rPr>
          <w:rStyle w:val="FootnoteReference"/>
          <w:vertAlign w:val="baseline"/>
        </w:rPr>
      </w:pPr>
      <w:proofErr w:type="gramStart"/>
      <w:r>
        <w:t>[3</w:t>
      </w:r>
      <w:r w:rsidRPr="00E56880">
        <w:t>]</w:t>
      </w:r>
      <w:r w:rsidRPr="00E56880">
        <w:tab/>
      </w:r>
      <w:proofErr w:type="spellStart"/>
      <w:r>
        <w:t>Règles</w:t>
      </w:r>
      <w:proofErr w:type="spellEnd"/>
      <w:r>
        <w:t xml:space="preserve"> </w:t>
      </w:r>
      <w:proofErr w:type="spellStart"/>
      <w:r>
        <w:t>Générales</w:t>
      </w:r>
      <w:proofErr w:type="spellEnd"/>
      <w:r>
        <w:t xml:space="preserve"> </w:t>
      </w:r>
      <w:proofErr w:type="spellStart"/>
      <w:r>
        <w:t>d’Exploitation</w:t>
      </w:r>
      <w:proofErr w:type="spellEnd"/>
      <w:r>
        <w:t xml:space="preserve"> – Area Classification, General Safety Instruction, EDMS No. 810149 (2006).</w:t>
      </w:r>
      <w:proofErr w:type="gramEnd"/>
    </w:p>
    <w:p w:rsidR="00B75D5E" w:rsidRPr="00165665" w:rsidRDefault="00B75D5E" w:rsidP="00165665"/>
    <w:sectPr w:rsidR="00B75D5E" w:rsidRP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BBAGIAcwB0AHIAYQBjAHQAIABUAGkAdABsAGUA" wne:acdName="acd0" wne:fciIndexBasedOn="0065"/>
    <wne:acd wne:argValue="AgBBAHUAdABoAG8AcgAgAEwAaQBzAHQA" wne:acdName="acd1" wne:fciIndexBasedOn="0065"/>
    <wne:acd wne:argValue="AgBIAGUAYQBkAGkAbgBnACAAMQAsAFAAYQBwAGUAcgAgAFQAaQB0AGwAZQA=" wne:acdName="acd2" wne:fciIndexBasedOn="0065"/>
    <wne:acd wne:argValue="AgBCAHUAbABsAGUAdABlAGQAIABMAGkAcwB0AA==" wne:acdName="acd3" wne:fciIndexBasedOn="0065"/>
    <wne:acd wne:argValue="AQAAAEMA" wne:acdName="acd4" wne:fciIndexBasedOn="0065"/>
    <wne:acd wne:argValue="AQAAACoA" wne:acdName="acd5" wne:fciIndexBasedOn="0065"/>
    <wne:acd wne:argValue="AQAAACsA" wne:acdName="acd6" wne:fciIndexBasedOn="0065"/>
    <wne:acd wne:argValue="AgBGAGkAZwB1AHIAZQAgAEMAYQBwAHQAaQBvAG4A" wne:acdName="acd7" wne:fciIndexBasedOn="0065"/>
    <wne:acd wne:argValue="AQAAACYA" wne:acdName="acd8" wne:fciIndexBasedOn="0065"/>
    <wne:acd wne:argValue="AQAAAB0A" wne:acdName="acd9" wne:fciIndexBasedOn="0065"/>
    <wne:acd wne:argValue="AgBCAG8AZAB5ACAAVABlAHgAdAAgAE4AbwAgAEkAbgBkAGUAbgB0AA==" wne:acdName="acd10" wne:fciIndexBasedOn="0065"/>
    <wne:acd wne:argValue="AgBIAGUAYQBkAGkAbgBnACAAMgAsAFMAZQBjAHQAaQBvAG4AIABIAGUAYQBkAGkAbgBnAA==" wne:acdName="acd11" wne:fciIndexBasedOn="0065"/>
    <wne:acd wne:argValue="AgBIAGUAYQBkAGkAbgBnACAAMwAsAFMAdQBiAHMAZQBjAHQAaQBvAG4AIABIAGUAYQBkAGkAbgBn&#10;AA==" wne:acdName="acd12" wne:fciIndexBasedOn="0065"/>
    <wne:acd wne:argValue="AQAAAFUA" wne:acdName="acd13" wne:fciIndexBasedOn="0065"/>
    <wne:acd wne:argValue="AgBGAGkAZwB1AHIAZQAgAEMAYQBwAHQAaQBvAG4AIABNAHUAbAB0AGkAIABMAGkAbgBlAA==" wne:acdName="acd14" wne:fciIndexBasedOn="0065"/>
    <wne:acd wne:argValue="AgBSAGUAZgBlAHIAZQBuAGMAZQAgAE4AbwB0AGUA" wne:acdName="acd15" wne:fciIndexBasedOn="0065"/>
    <wne:acd wne:argValue="AgBUAGEAYgBsAGUAIABDAGEAcAB0AGkAbwBuAA==" wne:acdName="acd16" wne:fciIndexBasedOn="0065"/>
    <wne:acd wne:argValue="AgBUAGEAYgBsAGUAIABDAGEAcAB0AGkAbwBuACAATQB1AGwAdABpACAATABpAG4AZQA=" wne:acdName="acd17" wne:fciIndexBasedOn="0065"/>
    <wne:acd wne:argValue="AgBFAHEAdQBhAHQAaQBvAG4A" wne:acdName="acd18" wne:fciIndexBasedOn="0065"/>
    <wne:acd wne:acdName="acd19" wne:fciIndexBasedOn="0065"/>
    <wne:acd wne:argValue="AgBSAGUAZgBlAHIAZQBuAGMAZQAgAFQAZQB4AHQAIABDAGgAYQByAA==" wne:acdName="acd2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91" w:rsidRDefault="00A11591"/>
  </w:endnote>
  <w:endnote w:type="continuationSeparator" w:id="0">
    <w:p w:rsidR="00A11591" w:rsidRDefault="00A11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91" w:rsidRDefault="00A11591">
      <w:r>
        <w:separator/>
      </w:r>
    </w:p>
  </w:footnote>
  <w:footnote w:type="continuationSeparator" w:id="0">
    <w:p w:rsidR="00A11591" w:rsidRDefault="00A11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061921"/>
    <w:multiLevelType w:val="multilevel"/>
    <w:tmpl w:val="54D0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66533C"/>
    <w:multiLevelType w:val="hybridMultilevel"/>
    <w:tmpl w:val="ECB815E0"/>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5">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6">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nsid w:val="6E2F5F1F"/>
    <w:multiLevelType w:val="multilevel"/>
    <w:tmpl w:val="E1C6E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378D6"/>
    <w:multiLevelType w:val="hybridMultilevel"/>
    <w:tmpl w:val="DA50CF0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num w:numId="1">
    <w:abstractNumId w:val="15"/>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1"/>
  </w:num>
  <w:num w:numId="17">
    <w:abstractNumId w:val="18"/>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B75D5E"/>
    <w:rsid w:val="00020600"/>
    <w:rsid w:val="0004017D"/>
    <w:rsid w:val="00052CB4"/>
    <w:rsid w:val="00054803"/>
    <w:rsid w:val="000742D0"/>
    <w:rsid w:val="00074A20"/>
    <w:rsid w:val="00074CB1"/>
    <w:rsid w:val="00092710"/>
    <w:rsid w:val="000A2A9A"/>
    <w:rsid w:val="000D0563"/>
    <w:rsid w:val="000D0EE2"/>
    <w:rsid w:val="000E1BEA"/>
    <w:rsid w:val="000E28FD"/>
    <w:rsid w:val="000E57D6"/>
    <w:rsid w:val="000E5F22"/>
    <w:rsid w:val="000F5253"/>
    <w:rsid w:val="0014145F"/>
    <w:rsid w:val="0015344C"/>
    <w:rsid w:val="00165665"/>
    <w:rsid w:val="00170426"/>
    <w:rsid w:val="001D6284"/>
    <w:rsid w:val="00215D2D"/>
    <w:rsid w:val="00234B1A"/>
    <w:rsid w:val="0023617E"/>
    <w:rsid w:val="002433BF"/>
    <w:rsid w:val="00270763"/>
    <w:rsid w:val="00295BD3"/>
    <w:rsid w:val="002B6F1E"/>
    <w:rsid w:val="002C6318"/>
    <w:rsid w:val="002D2A47"/>
    <w:rsid w:val="002E6023"/>
    <w:rsid w:val="003003BA"/>
    <w:rsid w:val="003027C2"/>
    <w:rsid w:val="0032255B"/>
    <w:rsid w:val="003412C6"/>
    <w:rsid w:val="00347DF5"/>
    <w:rsid w:val="00363F26"/>
    <w:rsid w:val="00370789"/>
    <w:rsid w:val="003721A1"/>
    <w:rsid w:val="003749C2"/>
    <w:rsid w:val="0037743E"/>
    <w:rsid w:val="00394F4B"/>
    <w:rsid w:val="003A575A"/>
    <w:rsid w:val="003C2B35"/>
    <w:rsid w:val="003C52DD"/>
    <w:rsid w:val="003C7DBB"/>
    <w:rsid w:val="003E4954"/>
    <w:rsid w:val="00402C4F"/>
    <w:rsid w:val="00417C7B"/>
    <w:rsid w:val="0042769D"/>
    <w:rsid w:val="00440AB8"/>
    <w:rsid w:val="00440D34"/>
    <w:rsid w:val="00477DE6"/>
    <w:rsid w:val="004A1546"/>
    <w:rsid w:val="004F2A1D"/>
    <w:rsid w:val="00506C77"/>
    <w:rsid w:val="00560D12"/>
    <w:rsid w:val="005779BE"/>
    <w:rsid w:val="005909C8"/>
    <w:rsid w:val="005C2CF8"/>
    <w:rsid w:val="005E24F7"/>
    <w:rsid w:val="005F6709"/>
    <w:rsid w:val="00636921"/>
    <w:rsid w:val="006560C3"/>
    <w:rsid w:val="00662C6C"/>
    <w:rsid w:val="006845B5"/>
    <w:rsid w:val="006C58CD"/>
    <w:rsid w:val="006F69A8"/>
    <w:rsid w:val="00705910"/>
    <w:rsid w:val="0075716F"/>
    <w:rsid w:val="00757B87"/>
    <w:rsid w:val="00761218"/>
    <w:rsid w:val="00784991"/>
    <w:rsid w:val="007B0E3E"/>
    <w:rsid w:val="007B1A5A"/>
    <w:rsid w:val="007D1D1F"/>
    <w:rsid w:val="007D466C"/>
    <w:rsid w:val="007D7689"/>
    <w:rsid w:val="007F29FF"/>
    <w:rsid w:val="00801CB2"/>
    <w:rsid w:val="008066B0"/>
    <w:rsid w:val="008117F0"/>
    <w:rsid w:val="00861CC3"/>
    <w:rsid w:val="0087001A"/>
    <w:rsid w:val="008A01FD"/>
    <w:rsid w:val="008A4AB4"/>
    <w:rsid w:val="008F5E79"/>
    <w:rsid w:val="00946B07"/>
    <w:rsid w:val="00963151"/>
    <w:rsid w:val="0097043E"/>
    <w:rsid w:val="00973EE7"/>
    <w:rsid w:val="009A6AC5"/>
    <w:rsid w:val="009B15A2"/>
    <w:rsid w:val="009C5D88"/>
    <w:rsid w:val="009C68D4"/>
    <w:rsid w:val="009D1438"/>
    <w:rsid w:val="009E24BD"/>
    <w:rsid w:val="009E31ED"/>
    <w:rsid w:val="009F421E"/>
    <w:rsid w:val="00A045D8"/>
    <w:rsid w:val="00A06B28"/>
    <w:rsid w:val="00A11591"/>
    <w:rsid w:val="00A2773F"/>
    <w:rsid w:val="00A32377"/>
    <w:rsid w:val="00A45AC9"/>
    <w:rsid w:val="00A54C69"/>
    <w:rsid w:val="00A64ACE"/>
    <w:rsid w:val="00A75837"/>
    <w:rsid w:val="00AB1310"/>
    <w:rsid w:val="00AD0058"/>
    <w:rsid w:val="00B01290"/>
    <w:rsid w:val="00B216A3"/>
    <w:rsid w:val="00B229FB"/>
    <w:rsid w:val="00B75D5E"/>
    <w:rsid w:val="00B9102A"/>
    <w:rsid w:val="00B96A4F"/>
    <w:rsid w:val="00BB5382"/>
    <w:rsid w:val="00BC515F"/>
    <w:rsid w:val="00BC6C9C"/>
    <w:rsid w:val="00BF4F5F"/>
    <w:rsid w:val="00C11FED"/>
    <w:rsid w:val="00C2283D"/>
    <w:rsid w:val="00C24AE1"/>
    <w:rsid w:val="00C53798"/>
    <w:rsid w:val="00C66650"/>
    <w:rsid w:val="00C71E2B"/>
    <w:rsid w:val="00C8224F"/>
    <w:rsid w:val="00CA1FB7"/>
    <w:rsid w:val="00D04B42"/>
    <w:rsid w:val="00D247CE"/>
    <w:rsid w:val="00D3389F"/>
    <w:rsid w:val="00D5341B"/>
    <w:rsid w:val="00D550FB"/>
    <w:rsid w:val="00D60EB1"/>
    <w:rsid w:val="00D73173"/>
    <w:rsid w:val="00DD42FA"/>
    <w:rsid w:val="00DE79DC"/>
    <w:rsid w:val="00E121B9"/>
    <w:rsid w:val="00E45DD9"/>
    <w:rsid w:val="00E47E1F"/>
    <w:rsid w:val="00E60947"/>
    <w:rsid w:val="00EA0021"/>
    <w:rsid w:val="00EB1E89"/>
    <w:rsid w:val="00EC74E3"/>
    <w:rsid w:val="00F4797F"/>
    <w:rsid w:val="00F52EE7"/>
    <w:rsid w:val="00F55188"/>
    <w:rsid w:val="00F6508B"/>
    <w:rsid w:val="00F749AF"/>
    <w:rsid w:val="00FA4B60"/>
    <w:rsid w:val="00FE7112"/>
    <w:rsid w:val="00FF0D82"/>
    <w:rsid w:val="00FF3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link w:val="BodyTextIndentChar"/>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paragraph" w:customStyle="1" w:styleId="HeadingA">
    <w:name w:val="Heading A"/>
    <w:basedOn w:val="Normal"/>
    <w:rsid w:val="0023617E"/>
    <w:pPr>
      <w:jc w:val="center"/>
    </w:pPr>
    <w:rPr>
      <w:rFonts w:ascii="Times New Roman" w:hAnsi="Times New Roman"/>
      <w:b/>
      <w:szCs w:val="20"/>
      <w:lang w:val="en-US"/>
    </w:rPr>
  </w:style>
  <w:style w:type="paragraph" w:customStyle="1" w:styleId="Paragraph">
    <w:name w:val="Paragraph"/>
    <w:basedOn w:val="Normal"/>
    <w:rsid w:val="0023617E"/>
    <w:pPr>
      <w:ind w:firstLine="360"/>
      <w:jc w:val="left"/>
    </w:pPr>
    <w:rPr>
      <w:rFonts w:ascii="Times New Roman" w:hAnsi="Times New Roman"/>
      <w:szCs w:val="20"/>
      <w:lang w:val="en-US"/>
    </w:rPr>
  </w:style>
  <w:style w:type="character" w:customStyle="1" w:styleId="BodyTextIndentChar">
    <w:name w:val="Body Text Indent Char"/>
    <w:basedOn w:val="DefaultParagraphFont"/>
    <w:link w:val="BodyTextIndent"/>
    <w:rsid w:val="003749C2"/>
    <w:rPr>
      <w:lang w:val="en-GB"/>
    </w:rPr>
  </w:style>
  <w:style w:type="character" w:styleId="PlaceholderText">
    <w:name w:val="Placeholder Text"/>
    <w:basedOn w:val="DefaultParagraphFont"/>
    <w:uiPriority w:val="99"/>
    <w:semiHidden/>
    <w:rsid w:val="00F52EE7"/>
    <w:rPr>
      <w:color w:val="808080"/>
    </w:rPr>
  </w:style>
  <w:style w:type="character" w:customStyle="1" w:styleId="FootnoteTextChar">
    <w:name w:val="Footnote Text Char"/>
    <w:basedOn w:val="DefaultParagraphFont"/>
    <w:link w:val="FootnoteText"/>
    <w:rsid w:val="0075716F"/>
    <w:rPr>
      <w:sz w:val="16"/>
      <w:lang w:val="en-GB"/>
    </w:rPr>
  </w:style>
  <w:style w:type="paragraph" w:styleId="NormalWeb">
    <w:name w:val="Normal (Web)"/>
    <w:basedOn w:val="Normal"/>
    <w:uiPriority w:val="99"/>
    <w:semiHidden/>
    <w:unhideWhenUsed/>
    <w:rsid w:val="003C7DBB"/>
    <w:pPr>
      <w:spacing w:before="100" w:beforeAutospacing="1" w:after="100" w:afterAutospacing="1"/>
      <w:jc w:val="left"/>
    </w:pPr>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23211045">
      <w:bodyDiv w:val="1"/>
      <w:marLeft w:val="0"/>
      <w:marRight w:val="0"/>
      <w:marTop w:val="0"/>
      <w:marBottom w:val="0"/>
      <w:divBdr>
        <w:top w:val="none" w:sz="0" w:space="0" w:color="auto"/>
        <w:left w:val="none" w:sz="0" w:space="0" w:color="auto"/>
        <w:bottom w:val="none" w:sz="0" w:space="0" w:color="auto"/>
        <w:right w:val="none" w:sz="0" w:space="0" w:color="auto"/>
      </w:divBdr>
    </w:div>
    <w:div w:id="61146599">
      <w:bodyDiv w:val="1"/>
      <w:marLeft w:val="0"/>
      <w:marRight w:val="0"/>
      <w:marTop w:val="0"/>
      <w:marBottom w:val="0"/>
      <w:divBdr>
        <w:top w:val="none" w:sz="0" w:space="0" w:color="auto"/>
        <w:left w:val="none" w:sz="0" w:space="0" w:color="auto"/>
        <w:bottom w:val="none" w:sz="0" w:space="0" w:color="auto"/>
        <w:right w:val="none" w:sz="0" w:space="0" w:color="auto"/>
      </w:divBdr>
      <w:divsChild>
        <w:div w:id="795566877">
          <w:marLeft w:val="0"/>
          <w:marRight w:val="0"/>
          <w:marTop w:val="0"/>
          <w:marBottom w:val="0"/>
          <w:divBdr>
            <w:top w:val="none" w:sz="0" w:space="0" w:color="auto"/>
            <w:left w:val="none" w:sz="0" w:space="0" w:color="auto"/>
            <w:bottom w:val="none" w:sz="0" w:space="0" w:color="auto"/>
            <w:right w:val="none" w:sz="0" w:space="0" w:color="auto"/>
          </w:divBdr>
          <w:divsChild>
            <w:div w:id="1720736972">
              <w:marLeft w:val="0"/>
              <w:marRight w:val="0"/>
              <w:marTop w:val="270"/>
              <w:marBottom w:val="450"/>
              <w:divBdr>
                <w:top w:val="none" w:sz="0" w:space="0" w:color="auto"/>
                <w:left w:val="none" w:sz="0" w:space="0" w:color="auto"/>
                <w:bottom w:val="none" w:sz="0" w:space="0" w:color="auto"/>
                <w:right w:val="none" w:sz="0" w:space="0" w:color="auto"/>
              </w:divBdr>
              <w:divsChild>
                <w:div w:id="2105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90">
      <w:bodyDiv w:val="1"/>
      <w:marLeft w:val="0"/>
      <w:marRight w:val="0"/>
      <w:marTop w:val="0"/>
      <w:marBottom w:val="0"/>
      <w:divBdr>
        <w:top w:val="none" w:sz="0" w:space="0" w:color="auto"/>
        <w:left w:val="none" w:sz="0" w:space="0" w:color="auto"/>
        <w:bottom w:val="none" w:sz="0" w:space="0" w:color="auto"/>
        <w:right w:val="none" w:sz="0" w:space="0" w:color="auto"/>
      </w:divBdr>
    </w:div>
    <w:div w:id="251158711">
      <w:bodyDiv w:val="1"/>
      <w:marLeft w:val="0"/>
      <w:marRight w:val="0"/>
      <w:marTop w:val="0"/>
      <w:marBottom w:val="0"/>
      <w:divBdr>
        <w:top w:val="none" w:sz="0" w:space="0" w:color="auto"/>
        <w:left w:val="none" w:sz="0" w:space="0" w:color="auto"/>
        <w:bottom w:val="none" w:sz="0" w:space="0" w:color="auto"/>
        <w:right w:val="none" w:sz="0" w:space="0" w:color="auto"/>
      </w:divBdr>
    </w:div>
    <w:div w:id="270748649">
      <w:bodyDiv w:val="1"/>
      <w:marLeft w:val="0"/>
      <w:marRight w:val="0"/>
      <w:marTop w:val="0"/>
      <w:marBottom w:val="0"/>
      <w:divBdr>
        <w:top w:val="none" w:sz="0" w:space="0" w:color="auto"/>
        <w:left w:val="none" w:sz="0" w:space="0" w:color="auto"/>
        <w:bottom w:val="none" w:sz="0" w:space="0" w:color="auto"/>
        <w:right w:val="none" w:sz="0" w:space="0" w:color="auto"/>
      </w:divBdr>
    </w:div>
    <w:div w:id="277298807">
      <w:bodyDiv w:val="1"/>
      <w:marLeft w:val="0"/>
      <w:marRight w:val="0"/>
      <w:marTop w:val="0"/>
      <w:marBottom w:val="0"/>
      <w:divBdr>
        <w:top w:val="none" w:sz="0" w:space="0" w:color="auto"/>
        <w:left w:val="none" w:sz="0" w:space="0" w:color="auto"/>
        <w:bottom w:val="none" w:sz="0" w:space="0" w:color="auto"/>
        <w:right w:val="none" w:sz="0" w:space="0" w:color="auto"/>
      </w:divBdr>
      <w:divsChild>
        <w:div w:id="674309059">
          <w:marLeft w:val="0"/>
          <w:marRight w:val="0"/>
          <w:marTop w:val="0"/>
          <w:marBottom w:val="0"/>
          <w:divBdr>
            <w:top w:val="none" w:sz="0" w:space="0" w:color="auto"/>
            <w:left w:val="none" w:sz="0" w:space="0" w:color="auto"/>
            <w:bottom w:val="none" w:sz="0" w:space="0" w:color="auto"/>
            <w:right w:val="none" w:sz="0" w:space="0" w:color="auto"/>
          </w:divBdr>
          <w:divsChild>
            <w:div w:id="1532651638">
              <w:marLeft w:val="0"/>
              <w:marRight w:val="0"/>
              <w:marTop w:val="270"/>
              <w:marBottom w:val="450"/>
              <w:divBdr>
                <w:top w:val="none" w:sz="0" w:space="0" w:color="auto"/>
                <w:left w:val="none" w:sz="0" w:space="0" w:color="auto"/>
                <w:bottom w:val="none" w:sz="0" w:space="0" w:color="auto"/>
                <w:right w:val="none" w:sz="0" w:space="0" w:color="auto"/>
              </w:divBdr>
              <w:divsChild>
                <w:div w:id="15267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4424">
      <w:bodyDiv w:val="1"/>
      <w:marLeft w:val="0"/>
      <w:marRight w:val="0"/>
      <w:marTop w:val="0"/>
      <w:marBottom w:val="0"/>
      <w:divBdr>
        <w:top w:val="none" w:sz="0" w:space="0" w:color="auto"/>
        <w:left w:val="none" w:sz="0" w:space="0" w:color="auto"/>
        <w:bottom w:val="none" w:sz="0" w:space="0" w:color="auto"/>
        <w:right w:val="none" w:sz="0" w:space="0" w:color="auto"/>
      </w:divBdr>
    </w:div>
    <w:div w:id="432550912">
      <w:bodyDiv w:val="1"/>
      <w:marLeft w:val="0"/>
      <w:marRight w:val="0"/>
      <w:marTop w:val="0"/>
      <w:marBottom w:val="0"/>
      <w:divBdr>
        <w:top w:val="none" w:sz="0" w:space="0" w:color="auto"/>
        <w:left w:val="none" w:sz="0" w:space="0" w:color="auto"/>
        <w:bottom w:val="none" w:sz="0" w:space="0" w:color="auto"/>
        <w:right w:val="none" w:sz="0" w:space="0" w:color="auto"/>
      </w:divBdr>
    </w:div>
    <w:div w:id="479926874">
      <w:bodyDiv w:val="1"/>
      <w:marLeft w:val="0"/>
      <w:marRight w:val="0"/>
      <w:marTop w:val="0"/>
      <w:marBottom w:val="0"/>
      <w:divBdr>
        <w:top w:val="none" w:sz="0" w:space="0" w:color="auto"/>
        <w:left w:val="none" w:sz="0" w:space="0" w:color="auto"/>
        <w:bottom w:val="none" w:sz="0" w:space="0" w:color="auto"/>
        <w:right w:val="none" w:sz="0" w:space="0" w:color="auto"/>
      </w:divBdr>
    </w:div>
    <w:div w:id="506555245">
      <w:bodyDiv w:val="1"/>
      <w:marLeft w:val="0"/>
      <w:marRight w:val="0"/>
      <w:marTop w:val="0"/>
      <w:marBottom w:val="0"/>
      <w:divBdr>
        <w:top w:val="none" w:sz="0" w:space="0" w:color="auto"/>
        <w:left w:val="none" w:sz="0" w:space="0" w:color="auto"/>
        <w:bottom w:val="none" w:sz="0" w:space="0" w:color="auto"/>
        <w:right w:val="none" w:sz="0" w:space="0" w:color="auto"/>
      </w:divBdr>
    </w:div>
    <w:div w:id="523132173">
      <w:bodyDiv w:val="1"/>
      <w:marLeft w:val="0"/>
      <w:marRight w:val="0"/>
      <w:marTop w:val="0"/>
      <w:marBottom w:val="0"/>
      <w:divBdr>
        <w:top w:val="none" w:sz="0" w:space="0" w:color="auto"/>
        <w:left w:val="none" w:sz="0" w:space="0" w:color="auto"/>
        <w:bottom w:val="none" w:sz="0" w:space="0" w:color="auto"/>
        <w:right w:val="none" w:sz="0" w:space="0" w:color="auto"/>
      </w:divBdr>
    </w:div>
    <w:div w:id="536821938">
      <w:bodyDiv w:val="1"/>
      <w:marLeft w:val="0"/>
      <w:marRight w:val="0"/>
      <w:marTop w:val="0"/>
      <w:marBottom w:val="0"/>
      <w:divBdr>
        <w:top w:val="none" w:sz="0" w:space="0" w:color="auto"/>
        <w:left w:val="none" w:sz="0" w:space="0" w:color="auto"/>
        <w:bottom w:val="none" w:sz="0" w:space="0" w:color="auto"/>
        <w:right w:val="none" w:sz="0" w:space="0" w:color="auto"/>
      </w:divBdr>
    </w:div>
    <w:div w:id="650716856">
      <w:bodyDiv w:val="1"/>
      <w:marLeft w:val="0"/>
      <w:marRight w:val="0"/>
      <w:marTop w:val="0"/>
      <w:marBottom w:val="0"/>
      <w:divBdr>
        <w:top w:val="none" w:sz="0" w:space="0" w:color="auto"/>
        <w:left w:val="none" w:sz="0" w:space="0" w:color="auto"/>
        <w:bottom w:val="none" w:sz="0" w:space="0" w:color="auto"/>
        <w:right w:val="none" w:sz="0" w:space="0" w:color="auto"/>
      </w:divBdr>
    </w:div>
    <w:div w:id="661660284">
      <w:bodyDiv w:val="1"/>
      <w:marLeft w:val="0"/>
      <w:marRight w:val="0"/>
      <w:marTop w:val="0"/>
      <w:marBottom w:val="0"/>
      <w:divBdr>
        <w:top w:val="none" w:sz="0" w:space="0" w:color="auto"/>
        <w:left w:val="none" w:sz="0" w:space="0" w:color="auto"/>
        <w:bottom w:val="none" w:sz="0" w:space="0" w:color="auto"/>
        <w:right w:val="none" w:sz="0" w:space="0" w:color="auto"/>
      </w:divBdr>
    </w:div>
    <w:div w:id="738328929">
      <w:bodyDiv w:val="1"/>
      <w:marLeft w:val="0"/>
      <w:marRight w:val="0"/>
      <w:marTop w:val="0"/>
      <w:marBottom w:val="0"/>
      <w:divBdr>
        <w:top w:val="none" w:sz="0" w:space="0" w:color="auto"/>
        <w:left w:val="none" w:sz="0" w:space="0" w:color="auto"/>
        <w:bottom w:val="none" w:sz="0" w:space="0" w:color="auto"/>
        <w:right w:val="none" w:sz="0" w:space="0" w:color="auto"/>
      </w:divBdr>
    </w:div>
    <w:div w:id="861355958">
      <w:bodyDiv w:val="1"/>
      <w:marLeft w:val="0"/>
      <w:marRight w:val="0"/>
      <w:marTop w:val="0"/>
      <w:marBottom w:val="0"/>
      <w:divBdr>
        <w:top w:val="none" w:sz="0" w:space="0" w:color="auto"/>
        <w:left w:val="none" w:sz="0" w:space="0" w:color="auto"/>
        <w:bottom w:val="none" w:sz="0" w:space="0" w:color="auto"/>
        <w:right w:val="none" w:sz="0" w:space="0" w:color="auto"/>
      </w:divBdr>
    </w:div>
    <w:div w:id="899632358">
      <w:bodyDiv w:val="1"/>
      <w:marLeft w:val="0"/>
      <w:marRight w:val="0"/>
      <w:marTop w:val="0"/>
      <w:marBottom w:val="0"/>
      <w:divBdr>
        <w:top w:val="none" w:sz="0" w:space="0" w:color="auto"/>
        <w:left w:val="none" w:sz="0" w:space="0" w:color="auto"/>
        <w:bottom w:val="none" w:sz="0" w:space="0" w:color="auto"/>
        <w:right w:val="none" w:sz="0" w:space="0" w:color="auto"/>
      </w:divBdr>
    </w:div>
    <w:div w:id="1053846574">
      <w:bodyDiv w:val="1"/>
      <w:marLeft w:val="0"/>
      <w:marRight w:val="0"/>
      <w:marTop w:val="0"/>
      <w:marBottom w:val="0"/>
      <w:divBdr>
        <w:top w:val="none" w:sz="0" w:space="0" w:color="auto"/>
        <w:left w:val="none" w:sz="0" w:space="0" w:color="auto"/>
        <w:bottom w:val="none" w:sz="0" w:space="0" w:color="auto"/>
        <w:right w:val="none" w:sz="0" w:space="0" w:color="auto"/>
      </w:divBdr>
    </w:div>
    <w:div w:id="1171987936">
      <w:bodyDiv w:val="1"/>
      <w:marLeft w:val="0"/>
      <w:marRight w:val="0"/>
      <w:marTop w:val="0"/>
      <w:marBottom w:val="0"/>
      <w:divBdr>
        <w:top w:val="none" w:sz="0" w:space="0" w:color="auto"/>
        <w:left w:val="none" w:sz="0" w:space="0" w:color="auto"/>
        <w:bottom w:val="none" w:sz="0" w:space="0" w:color="auto"/>
        <w:right w:val="none" w:sz="0" w:space="0" w:color="auto"/>
      </w:divBdr>
    </w:div>
    <w:div w:id="1174034036">
      <w:bodyDiv w:val="1"/>
      <w:marLeft w:val="0"/>
      <w:marRight w:val="0"/>
      <w:marTop w:val="0"/>
      <w:marBottom w:val="0"/>
      <w:divBdr>
        <w:top w:val="none" w:sz="0" w:space="0" w:color="auto"/>
        <w:left w:val="none" w:sz="0" w:space="0" w:color="auto"/>
        <w:bottom w:val="none" w:sz="0" w:space="0" w:color="auto"/>
        <w:right w:val="none" w:sz="0" w:space="0" w:color="auto"/>
      </w:divBdr>
    </w:div>
    <w:div w:id="1194541315">
      <w:bodyDiv w:val="1"/>
      <w:marLeft w:val="0"/>
      <w:marRight w:val="0"/>
      <w:marTop w:val="0"/>
      <w:marBottom w:val="0"/>
      <w:divBdr>
        <w:top w:val="none" w:sz="0" w:space="0" w:color="auto"/>
        <w:left w:val="none" w:sz="0" w:space="0" w:color="auto"/>
        <w:bottom w:val="none" w:sz="0" w:space="0" w:color="auto"/>
        <w:right w:val="none" w:sz="0" w:space="0" w:color="auto"/>
      </w:divBdr>
    </w:div>
    <w:div w:id="1316180228">
      <w:bodyDiv w:val="1"/>
      <w:marLeft w:val="0"/>
      <w:marRight w:val="0"/>
      <w:marTop w:val="0"/>
      <w:marBottom w:val="0"/>
      <w:divBdr>
        <w:top w:val="none" w:sz="0" w:space="0" w:color="auto"/>
        <w:left w:val="none" w:sz="0" w:space="0" w:color="auto"/>
        <w:bottom w:val="none" w:sz="0" w:space="0" w:color="auto"/>
        <w:right w:val="none" w:sz="0" w:space="0" w:color="auto"/>
      </w:divBdr>
      <w:divsChild>
        <w:div w:id="914969374">
          <w:marLeft w:val="0"/>
          <w:marRight w:val="0"/>
          <w:marTop w:val="0"/>
          <w:marBottom w:val="0"/>
          <w:divBdr>
            <w:top w:val="none" w:sz="0" w:space="0" w:color="auto"/>
            <w:left w:val="none" w:sz="0" w:space="0" w:color="auto"/>
            <w:bottom w:val="none" w:sz="0" w:space="0" w:color="auto"/>
            <w:right w:val="none" w:sz="0" w:space="0" w:color="auto"/>
          </w:divBdr>
          <w:divsChild>
            <w:div w:id="207451292">
              <w:marLeft w:val="0"/>
              <w:marRight w:val="0"/>
              <w:marTop w:val="270"/>
              <w:marBottom w:val="450"/>
              <w:divBdr>
                <w:top w:val="none" w:sz="0" w:space="0" w:color="auto"/>
                <w:left w:val="none" w:sz="0" w:space="0" w:color="auto"/>
                <w:bottom w:val="none" w:sz="0" w:space="0" w:color="auto"/>
                <w:right w:val="none" w:sz="0" w:space="0" w:color="auto"/>
              </w:divBdr>
              <w:divsChild>
                <w:div w:id="15586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336">
      <w:bodyDiv w:val="1"/>
      <w:marLeft w:val="0"/>
      <w:marRight w:val="0"/>
      <w:marTop w:val="0"/>
      <w:marBottom w:val="0"/>
      <w:divBdr>
        <w:top w:val="none" w:sz="0" w:space="0" w:color="auto"/>
        <w:left w:val="none" w:sz="0" w:space="0" w:color="auto"/>
        <w:bottom w:val="none" w:sz="0" w:space="0" w:color="auto"/>
        <w:right w:val="none" w:sz="0" w:space="0" w:color="auto"/>
      </w:divBdr>
      <w:divsChild>
        <w:div w:id="1911384584">
          <w:marLeft w:val="0"/>
          <w:marRight w:val="0"/>
          <w:marTop w:val="0"/>
          <w:marBottom w:val="0"/>
          <w:divBdr>
            <w:top w:val="none" w:sz="0" w:space="0" w:color="auto"/>
            <w:left w:val="none" w:sz="0" w:space="0" w:color="auto"/>
            <w:bottom w:val="none" w:sz="0" w:space="0" w:color="auto"/>
            <w:right w:val="none" w:sz="0" w:space="0" w:color="auto"/>
          </w:divBdr>
          <w:divsChild>
            <w:div w:id="1667395184">
              <w:marLeft w:val="0"/>
              <w:marRight w:val="0"/>
              <w:marTop w:val="270"/>
              <w:marBottom w:val="450"/>
              <w:divBdr>
                <w:top w:val="none" w:sz="0" w:space="0" w:color="auto"/>
                <w:left w:val="none" w:sz="0" w:space="0" w:color="auto"/>
                <w:bottom w:val="none" w:sz="0" w:space="0" w:color="auto"/>
                <w:right w:val="none" w:sz="0" w:space="0" w:color="auto"/>
              </w:divBdr>
              <w:divsChild>
                <w:div w:id="19957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9316">
      <w:bodyDiv w:val="1"/>
      <w:marLeft w:val="0"/>
      <w:marRight w:val="0"/>
      <w:marTop w:val="0"/>
      <w:marBottom w:val="0"/>
      <w:divBdr>
        <w:top w:val="none" w:sz="0" w:space="0" w:color="auto"/>
        <w:left w:val="none" w:sz="0" w:space="0" w:color="auto"/>
        <w:bottom w:val="none" w:sz="0" w:space="0" w:color="auto"/>
        <w:right w:val="none" w:sz="0" w:space="0" w:color="auto"/>
      </w:divBdr>
    </w:div>
    <w:div w:id="1605529716">
      <w:bodyDiv w:val="1"/>
      <w:marLeft w:val="0"/>
      <w:marRight w:val="0"/>
      <w:marTop w:val="0"/>
      <w:marBottom w:val="0"/>
      <w:divBdr>
        <w:top w:val="none" w:sz="0" w:space="0" w:color="auto"/>
        <w:left w:val="none" w:sz="0" w:space="0" w:color="auto"/>
        <w:bottom w:val="none" w:sz="0" w:space="0" w:color="auto"/>
        <w:right w:val="none" w:sz="0" w:space="0" w:color="auto"/>
      </w:divBdr>
      <w:divsChild>
        <w:div w:id="1095007413">
          <w:marLeft w:val="0"/>
          <w:marRight w:val="0"/>
          <w:marTop w:val="0"/>
          <w:marBottom w:val="0"/>
          <w:divBdr>
            <w:top w:val="none" w:sz="0" w:space="0" w:color="auto"/>
            <w:left w:val="none" w:sz="0" w:space="0" w:color="auto"/>
            <w:bottom w:val="none" w:sz="0" w:space="0" w:color="auto"/>
            <w:right w:val="none" w:sz="0" w:space="0" w:color="auto"/>
          </w:divBdr>
          <w:divsChild>
            <w:div w:id="333456385">
              <w:marLeft w:val="0"/>
              <w:marRight w:val="0"/>
              <w:marTop w:val="270"/>
              <w:marBottom w:val="450"/>
              <w:divBdr>
                <w:top w:val="none" w:sz="0" w:space="0" w:color="auto"/>
                <w:left w:val="none" w:sz="0" w:space="0" w:color="auto"/>
                <w:bottom w:val="none" w:sz="0" w:space="0" w:color="auto"/>
                <w:right w:val="none" w:sz="0" w:space="0" w:color="auto"/>
              </w:divBdr>
              <w:divsChild>
                <w:div w:id="5099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3127">
      <w:bodyDiv w:val="1"/>
      <w:marLeft w:val="0"/>
      <w:marRight w:val="0"/>
      <w:marTop w:val="0"/>
      <w:marBottom w:val="0"/>
      <w:divBdr>
        <w:top w:val="none" w:sz="0" w:space="0" w:color="auto"/>
        <w:left w:val="none" w:sz="0" w:space="0" w:color="auto"/>
        <w:bottom w:val="none" w:sz="0" w:space="0" w:color="auto"/>
        <w:right w:val="none" w:sz="0" w:space="0" w:color="auto"/>
      </w:divBdr>
      <w:divsChild>
        <w:div w:id="1411926410">
          <w:marLeft w:val="0"/>
          <w:marRight w:val="0"/>
          <w:marTop w:val="0"/>
          <w:marBottom w:val="0"/>
          <w:divBdr>
            <w:top w:val="none" w:sz="0" w:space="0" w:color="auto"/>
            <w:left w:val="none" w:sz="0" w:space="0" w:color="auto"/>
            <w:bottom w:val="none" w:sz="0" w:space="0" w:color="auto"/>
            <w:right w:val="none" w:sz="0" w:space="0" w:color="auto"/>
          </w:divBdr>
          <w:divsChild>
            <w:div w:id="507060879">
              <w:marLeft w:val="0"/>
              <w:marRight w:val="0"/>
              <w:marTop w:val="270"/>
              <w:marBottom w:val="450"/>
              <w:divBdr>
                <w:top w:val="none" w:sz="0" w:space="0" w:color="auto"/>
                <w:left w:val="none" w:sz="0" w:space="0" w:color="auto"/>
                <w:bottom w:val="none" w:sz="0" w:space="0" w:color="auto"/>
                <w:right w:val="none" w:sz="0" w:space="0" w:color="auto"/>
              </w:divBdr>
              <w:divsChild>
                <w:div w:id="1489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9507">
      <w:bodyDiv w:val="1"/>
      <w:marLeft w:val="0"/>
      <w:marRight w:val="0"/>
      <w:marTop w:val="0"/>
      <w:marBottom w:val="0"/>
      <w:divBdr>
        <w:top w:val="none" w:sz="0" w:space="0" w:color="auto"/>
        <w:left w:val="none" w:sz="0" w:space="0" w:color="auto"/>
        <w:bottom w:val="none" w:sz="0" w:space="0" w:color="auto"/>
        <w:right w:val="none" w:sz="0" w:space="0" w:color="auto"/>
      </w:divBdr>
    </w:div>
    <w:div w:id="1734232337">
      <w:bodyDiv w:val="1"/>
      <w:marLeft w:val="0"/>
      <w:marRight w:val="0"/>
      <w:marTop w:val="0"/>
      <w:marBottom w:val="0"/>
      <w:divBdr>
        <w:top w:val="none" w:sz="0" w:space="0" w:color="auto"/>
        <w:left w:val="none" w:sz="0" w:space="0" w:color="auto"/>
        <w:bottom w:val="none" w:sz="0" w:space="0" w:color="auto"/>
        <w:right w:val="none" w:sz="0" w:space="0" w:color="auto"/>
      </w:divBdr>
    </w:div>
    <w:div w:id="1749692408">
      <w:bodyDiv w:val="1"/>
      <w:marLeft w:val="0"/>
      <w:marRight w:val="0"/>
      <w:marTop w:val="0"/>
      <w:marBottom w:val="0"/>
      <w:divBdr>
        <w:top w:val="none" w:sz="0" w:space="0" w:color="auto"/>
        <w:left w:val="none" w:sz="0" w:space="0" w:color="auto"/>
        <w:bottom w:val="none" w:sz="0" w:space="0" w:color="auto"/>
        <w:right w:val="none" w:sz="0" w:space="0" w:color="auto"/>
      </w:divBdr>
    </w:div>
    <w:div w:id="1818187983">
      <w:bodyDiv w:val="1"/>
      <w:marLeft w:val="0"/>
      <w:marRight w:val="0"/>
      <w:marTop w:val="0"/>
      <w:marBottom w:val="0"/>
      <w:divBdr>
        <w:top w:val="none" w:sz="0" w:space="0" w:color="auto"/>
        <w:left w:val="none" w:sz="0" w:space="0" w:color="auto"/>
        <w:bottom w:val="none" w:sz="0" w:space="0" w:color="auto"/>
        <w:right w:val="none" w:sz="0" w:space="0" w:color="auto"/>
      </w:divBdr>
    </w:div>
    <w:div w:id="1847668626">
      <w:bodyDiv w:val="1"/>
      <w:marLeft w:val="0"/>
      <w:marRight w:val="0"/>
      <w:marTop w:val="0"/>
      <w:marBottom w:val="0"/>
      <w:divBdr>
        <w:top w:val="none" w:sz="0" w:space="0" w:color="auto"/>
        <w:left w:val="none" w:sz="0" w:space="0" w:color="auto"/>
        <w:bottom w:val="none" w:sz="0" w:space="0" w:color="auto"/>
        <w:right w:val="none" w:sz="0" w:space="0" w:color="auto"/>
      </w:divBdr>
    </w:div>
    <w:div w:id="1880782316">
      <w:bodyDiv w:val="1"/>
      <w:marLeft w:val="0"/>
      <w:marRight w:val="0"/>
      <w:marTop w:val="0"/>
      <w:marBottom w:val="0"/>
      <w:divBdr>
        <w:top w:val="none" w:sz="0" w:space="0" w:color="auto"/>
        <w:left w:val="none" w:sz="0" w:space="0" w:color="auto"/>
        <w:bottom w:val="none" w:sz="0" w:space="0" w:color="auto"/>
        <w:right w:val="none" w:sz="0" w:space="0" w:color="auto"/>
      </w:divBdr>
    </w:div>
    <w:div w:id="2090419355">
      <w:bodyDiv w:val="1"/>
      <w:marLeft w:val="0"/>
      <w:marRight w:val="0"/>
      <w:marTop w:val="0"/>
      <w:marBottom w:val="0"/>
      <w:divBdr>
        <w:top w:val="none" w:sz="0" w:space="0" w:color="auto"/>
        <w:left w:val="none" w:sz="0" w:space="0" w:color="auto"/>
        <w:bottom w:val="none" w:sz="0" w:space="0" w:color="auto"/>
        <w:right w:val="none" w:sz="0" w:space="0" w:color="auto"/>
      </w:divBdr>
      <w:divsChild>
        <w:div w:id="1445231891">
          <w:marLeft w:val="0"/>
          <w:marRight w:val="0"/>
          <w:marTop w:val="0"/>
          <w:marBottom w:val="0"/>
          <w:divBdr>
            <w:top w:val="none" w:sz="0" w:space="0" w:color="auto"/>
            <w:left w:val="none" w:sz="0" w:space="0" w:color="auto"/>
            <w:bottom w:val="none" w:sz="0" w:space="0" w:color="auto"/>
            <w:right w:val="none" w:sz="0" w:space="0" w:color="auto"/>
          </w:divBdr>
          <w:divsChild>
            <w:div w:id="1149588038">
              <w:marLeft w:val="0"/>
              <w:marRight w:val="0"/>
              <w:marTop w:val="270"/>
              <w:marBottom w:val="450"/>
              <w:divBdr>
                <w:top w:val="none" w:sz="0" w:space="0" w:color="auto"/>
                <w:left w:val="none" w:sz="0" w:space="0" w:color="auto"/>
                <w:bottom w:val="none" w:sz="0" w:space="0" w:color="auto"/>
                <w:right w:val="none" w:sz="0" w:space="0" w:color="auto"/>
              </w:divBdr>
              <w:divsChild>
                <w:div w:id="4147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A255-83A7-4945-B5B2-AA7B5A83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470</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Poole</dc:creator>
  <cp:lastModifiedBy>sroesler</cp:lastModifiedBy>
  <cp:revision>6</cp:revision>
  <cp:lastPrinted>2011-02-16T21:21:00Z</cp:lastPrinted>
  <dcterms:created xsi:type="dcterms:W3CDTF">2011-02-16T08:22:00Z</dcterms:created>
  <dcterms:modified xsi:type="dcterms:W3CDTF">2011-02-16T21:49:00Z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