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38" w:rsidRPr="00EA653A" w:rsidRDefault="00CB1F27">
      <w:pPr>
        <w:pStyle w:val="Heading1"/>
        <w:rPr>
          <w:rFonts w:cs="Times New Roman"/>
        </w:rPr>
      </w:pPr>
      <w:r>
        <w:rPr>
          <w:rFonts w:cs="Times New Roman"/>
        </w:rPr>
        <w:t>consolidation of the</w:t>
      </w:r>
      <w:r w:rsidR="00C031E8" w:rsidRPr="00C031E8">
        <w:rPr>
          <w:rFonts w:cs="Times New Roman"/>
        </w:rPr>
        <w:t xml:space="preserve"> </w:t>
      </w:r>
      <w:r>
        <w:rPr>
          <w:rFonts w:cs="Times New Roman"/>
        </w:rPr>
        <w:t xml:space="preserve">lhc </w:t>
      </w:r>
      <w:r w:rsidR="00C031E8" w:rsidRPr="00C031E8">
        <w:rPr>
          <w:rFonts w:cs="Times New Roman"/>
        </w:rPr>
        <w:t xml:space="preserve">Superconducting </w:t>
      </w:r>
      <w:r>
        <w:rPr>
          <w:rFonts w:cs="Times New Roman"/>
        </w:rPr>
        <w:t xml:space="preserve">magnets and </w:t>
      </w:r>
      <w:r w:rsidR="00C031E8" w:rsidRPr="00C031E8">
        <w:rPr>
          <w:rFonts w:cs="Times New Roman"/>
        </w:rPr>
        <w:t>Circuits</w:t>
      </w:r>
      <w:r>
        <w:rPr>
          <w:rFonts w:cs="Times New Roman"/>
        </w:rPr>
        <w:t xml:space="preserve"> during ls1</w:t>
      </w:r>
    </w:p>
    <w:p w:rsidR="007965A9" w:rsidRPr="00EA653A" w:rsidRDefault="00881617" w:rsidP="00A22CE6">
      <w:pPr>
        <w:pStyle w:val="AuthorList"/>
        <w:spacing w:before="0" w:after="0"/>
      </w:pPr>
      <w:proofErr w:type="spellStart"/>
      <w:r w:rsidRPr="00EA653A">
        <w:t>J.Ph</w:t>
      </w:r>
      <w:proofErr w:type="spellEnd"/>
      <w:r w:rsidRPr="00EA653A">
        <w:t xml:space="preserve">. Tock, </w:t>
      </w:r>
      <w:r w:rsidR="007965A9" w:rsidRPr="00EA653A">
        <w:t>CERN, Geneva, Switzerland</w:t>
      </w:r>
      <w:r w:rsidR="00373CE6" w:rsidRPr="00EA653A">
        <w:t xml:space="preserve">, </w:t>
      </w:r>
    </w:p>
    <w:p w:rsidR="00A22CE6" w:rsidRPr="00EA653A" w:rsidRDefault="00A22CE6" w:rsidP="00A22CE6">
      <w:pPr>
        <w:pStyle w:val="AbstractTitle"/>
      </w:pPr>
    </w:p>
    <w:p w:rsidR="00A22CE6" w:rsidRPr="00EA653A" w:rsidRDefault="00A22CE6" w:rsidP="00A22CE6">
      <w:pPr>
        <w:pStyle w:val="BodyTextIndent"/>
        <w:sectPr w:rsidR="00A22CE6" w:rsidRPr="00EA653A" w:rsidSect="00C031E8">
          <w:footnotePr>
            <w:pos w:val="beneathText"/>
            <w:numFmt w:val="chicago"/>
          </w:footnotePr>
          <w:endnotePr>
            <w:numFmt w:val="decimal"/>
          </w:endnotePr>
          <w:type w:val="continuous"/>
          <w:pgSz w:w="11907" w:h="16840" w:code="9"/>
          <w:pgMar w:top="2098" w:right="1134" w:bottom="1077" w:left="1134" w:header="2098" w:footer="1077" w:gutter="0"/>
          <w:cols w:space="720"/>
          <w:titlePg/>
          <w:docGrid w:linePitch="360"/>
        </w:sectPr>
      </w:pPr>
    </w:p>
    <w:p w:rsidR="00970AFB" w:rsidRPr="00EA653A" w:rsidRDefault="009D1438" w:rsidP="00970AFB">
      <w:pPr>
        <w:pStyle w:val="AbstractTitle"/>
        <w:rPr>
          <w:kern w:val="16"/>
        </w:rPr>
      </w:pPr>
      <w:r w:rsidRPr="00EA653A">
        <w:rPr>
          <w:kern w:val="16"/>
        </w:rPr>
        <w:lastRenderedPageBreak/>
        <w:t>Abstract</w:t>
      </w:r>
    </w:p>
    <w:p w:rsidR="00CB1F27" w:rsidRPr="00CB1F27" w:rsidRDefault="00CB1F27" w:rsidP="00CB1F27">
      <w:pPr>
        <w:pStyle w:val="AbstractTitle"/>
        <w:ind w:firstLine="170"/>
        <w:jc w:val="both"/>
        <w:rPr>
          <w:i w:val="0"/>
          <w:noProof/>
          <w:sz w:val="20"/>
          <w:szCs w:val="20"/>
        </w:rPr>
      </w:pPr>
      <w:r w:rsidRPr="00CB1F27">
        <w:rPr>
          <w:i w:val="0"/>
          <w:noProof/>
          <w:sz w:val="20"/>
          <w:szCs w:val="20"/>
        </w:rPr>
        <w:t xml:space="preserve">All the activities necessary to consolidate the LHC superconducting </w:t>
      </w:r>
      <w:r>
        <w:rPr>
          <w:i w:val="0"/>
          <w:noProof/>
          <w:sz w:val="20"/>
          <w:szCs w:val="20"/>
        </w:rPr>
        <w:t xml:space="preserve">magnets and </w:t>
      </w:r>
      <w:r w:rsidRPr="00CB1F27">
        <w:rPr>
          <w:i w:val="0"/>
          <w:noProof/>
          <w:sz w:val="20"/>
          <w:szCs w:val="20"/>
        </w:rPr>
        <w:t xml:space="preserve">circuits are </w:t>
      </w:r>
      <w:r w:rsidR="008527AA">
        <w:rPr>
          <w:i w:val="0"/>
          <w:noProof/>
          <w:sz w:val="20"/>
          <w:szCs w:val="20"/>
        </w:rPr>
        <w:t>presented</w:t>
      </w:r>
      <w:r w:rsidRPr="00CB1F27">
        <w:rPr>
          <w:i w:val="0"/>
          <w:noProof/>
          <w:sz w:val="20"/>
          <w:szCs w:val="20"/>
        </w:rPr>
        <w:t xml:space="preserve">, especially the consolidation of the main splices, </w:t>
      </w:r>
      <w:r w:rsidR="005970CE">
        <w:rPr>
          <w:i w:val="0"/>
          <w:noProof/>
          <w:sz w:val="20"/>
          <w:szCs w:val="20"/>
        </w:rPr>
        <w:t>replacement</w:t>
      </w:r>
      <w:r w:rsidRPr="00CB1F27">
        <w:rPr>
          <w:i w:val="0"/>
          <w:noProof/>
          <w:sz w:val="20"/>
          <w:szCs w:val="20"/>
        </w:rPr>
        <w:t xml:space="preserve"> of weak cryomagnets, the consolidation of the DFBAs and the special interventions. For each of them, the baseline strategy </w:t>
      </w:r>
      <w:r w:rsidR="003475B1">
        <w:rPr>
          <w:i w:val="0"/>
          <w:noProof/>
          <w:sz w:val="20"/>
          <w:szCs w:val="20"/>
        </w:rPr>
        <w:t>is</w:t>
      </w:r>
      <w:r w:rsidRPr="00CB1F27">
        <w:rPr>
          <w:i w:val="0"/>
          <w:noProof/>
          <w:sz w:val="20"/>
          <w:szCs w:val="20"/>
        </w:rPr>
        <w:t xml:space="preserve"> presented, highlighting the reasons that led to these choices and the remaining risk level.</w:t>
      </w:r>
    </w:p>
    <w:p w:rsidR="00970AFB" w:rsidRDefault="00CB1F27" w:rsidP="00CB1F27">
      <w:pPr>
        <w:pStyle w:val="AbstractTitle"/>
        <w:ind w:firstLine="170"/>
        <w:jc w:val="both"/>
        <w:rPr>
          <w:i w:val="0"/>
          <w:noProof/>
          <w:sz w:val="20"/>
          <w:szCs w:val="20"/>
        </w:rPr>
      </w:pPr>
      <w:r w:rsidRPr="00CB1F27">
        <w:rPr>
          <w:i w:val="0"/>
          <w:noProof/>
          <w:sz w:val="20"/>
          <w:szCs w:val="20"/>
        </w:rPr>
        <w:t>In particular, the p</w:t>
      </w:r>
      <w:r w:rsidR="001A3708">
        <w:rPr>
          <w:i w:val="0"/>
          <w:noProof/>
          <w:sz w:val="20"/>
          <w:szCs w:val="20"/>
        </w:rPr>
        <w:t>rogress of the work of the LHC Splices Task F</w:t>
      </w:r>
      <w:r w:rsidRPr="00CB1F27">
        <w:rPr>
          <w:i w:val="0"/>
          <w:noProof/>
          <w:sz w:val="20"/>
          <w:szCs w:val="20"/>
        </w:rPr>
        <w:t>orce, the rec</w:t>
      </w:r>
      <w:r w:rsidR="001A3708">
        <w:rPr>
          <w:i w:val="0"/>
          <w:noProof/>
          <w:sz w:val="20"/>
          <w:szCs w:val="20"/>
        </w:rPr>
        <w:t>ommendations of the second LHC Splices R</w:t>
      </w:r>
      <w:r w:rsidRPr="00CB1F27">
        <w:rPr>
          <w:i w:val="0"/>
          <w:noProof/>
          <w:sz w:val="20"/>
          <w:szCs w:val="20"/>
        </w:rPr>
        <w:t>eview (November 2011) and their analysis are reported. Finally, the work planning, the organization chart and</w:t>
      </w:r>
      <w:r w:rsidR="003475B1">
        <w:rPr>
          <w:i w:val="0"/>
          <w:noProof/>
          <w:sz w:val="20"/>
          <w:szCs w:val="20"/>
        </w:rPr>
        <w:t xml:space="preserve"> the associated resources ar</w:t>
      </w:r>
      <w:r w:rsidRPr="00CB1F27">
        <w:rPr>
          <w:i w:val="0"/>
          <w:noProof/>
          <w:sz w:val="20"/>
          <w:szCs w:val="20"/>
        </w:rPr>
        <w:t>e detailed.</w:t>
      </w:r>
    </w:p>
    <w:p w:rsidR="001E2ABC" w:rsidRPr="001E2ABC" w:rsidRDefault="001E2ABC" w:rsidP="001E2ABC">
      <w:pPr>
        <w:pStyle w:val="BodyTextIndent"/>
      </w:pPr>
    </w:p>
    <w:p w:rsidR="009D1438" w:rsidRPr="00EA653A" w:rsidRDefault="00CB1F27" w:rsidP="003C52DD">
      <w:pPr>
        <w:pStyle w:val="Heading2"/>
        <w:spacing w:before="180"/>
        <w:rPr>
          <w:rFonts w:cs="Times New Roman"/>
        </w:rPr>
      </w:pPr>
      <w:r>
        <w:rPr>
          <w:rFonts w:cs="Times New Roman"/>
        </w:rPr>
        <w:t>main splices</w:t>
      </w:r>
    </w:p>
    <w:p w:rsidR="00D542AC" w:rsidRDefault="00CB1F27" w:rsidP="00CB1F27">
      <w:pPr>
        <w:pStyle w:val="BodyTextIndent"/>
        <w:rPr>
          <w:kern w:val="16"/>
        </w:rPr>
      </w:pPr>
      <w:r>
        <w:rPr>
          <w:kern w:val="16"/>
        </w:rPr>
        <w:t xml:space="preserve">The design and procedures </w:t>
      </w:r>
      <w:r w:rsidR="001A3708">
        <w:rPr>
          <w:kern w:val="16"/>
        </w:rPr>
        <w:t>f</w:t>
      </w:r>
      <w:r>
        <w:rPr>
          <w:kern w:val="16"/>
        </w:rPr>
        <w:t>o</w:t>
      </w:r>
      <w:r w:rsidR="001A3708">
        <w:rPr>
          <w:kern w:val="16"/>
        </w:rPr>
        <w:t>r</w:t>
      </w:r>
      <w:r>
        <w:rPr>
          <w:kern w:val="16"/>
        </w:rPr>
        <w:t xml:space="preserve"> consolidat</w:t>
      </w:r>
      <w:r w:rsidR="001A3708">
        <w:rPr>
          <w:kern w:val="16"/>
        </w:rPr>
        <w:t>ion</w:t>
      </w:r>
      <w:r>
        <w:rPr>
          <w:kern w:val="16"/>
        </w:rPr>
        <w:t xml:space="preserve"> </w:t>
      </w:r>
      <w:r w:rsidR="001A3708">
        <w:rPr>
          <w:kern w:val="16"/>
        </w:rPr>
        <w:t xml:space="preserve">of </w:t>
      </w:r>
      <w:r>
        <w:rPr>
          <w:kern w:val="16"/>
        </w:rPr>
        <w:t xml:space="preserve">the </w:t>
      </w:r>
      <w:r w:rsidR="001A3708">
        <w:rPr>
          <w:kern w:val="16"/>
        </w:rPr>
        <w:t xml:space="preserve">13 kA </w:t>
      </w:r>
      <w:proofErr w:type="spellStart"/>
      <w:r w:rsidR="001A3708">
        <w:rPr>
          <w:kern w:val="16"/>
        </w:rPr>
        <w:t>busbar</w:t>
      </w:r>
      <w:proofErr w:type="spellEnd"/>
      <w:r>
        <w:rPr>
          <w:kern w:val="16"/>
        </w:rPr>
        <w:t xml:space="preserve"> splices </w:t>
      </w:r>
      <w:r w:rsidR="001A3708">
        <w:rPr>
          <w:kern w:val="16"/>
        </w:rPr>
        <w:t xml:space="preserve">of the main dipole and </w:t>
      </w:r>
      <w:proofErr w:type="spellStart"/>
      <w:r w:rsidR="001A3708">
        <w:rPr>
          <w:kern w:val="16"/>
        </w:rPr>
        <w:t>quadrupole</w:t>
      </w:r>
      <w:proofErr w:type="spellEnd"/>
      <w:r w:rsidR="001A3708">
        <w:rPr>
          <w:kern w:val="16"/>
        </w:rPr>
        <w:t xml:space="preserve"> circuits </w:t>
      </w:r>
      <w:r>
        <w:rPr>
          <w:kern w:val="16"/>
        </w:rPr>
        <w:t>were presented and submitted to an international review committee at the second LHC splices review [1]</w:t>
      </w:r>
      <w:r w:rsidR="00DD32B4">
        <w:rPr>
          <w:kern w:val="16"/>
        </w:rPr>
        <w:t xml:space="preserve">. </w:t>
      </w:r>
      <w:r w:rsidR="00D542AC">
        <w:rPr>
          <w:kern w:val="16"/>
        </w:rPr>
        <w:t>This review is part of a series of review</w:t>
      </w:r>
      <w:r w:rsidR="003475B1">
        <w:rPr>
          <w:kern w:val="16"/>
        </w:rPr>
        <w:t>s</w:t>
      </w:r>
      <w:r w:rsidR="00D542AC">
        <w:rPr>
          <w:kern w:val="16"/>
        </w:rPr>
        <w:t xml:space="preserve"> and the next ones have been prelimi</w:t>
      </w:r>
      <w:r w:rsidR="008527AA">
        <w:rPr>
          <w:kern w:val="16"/>
        </w:rPr>
        <w:t>naril</w:t>
      </w:r>
      <w:r w:rsidR="00D542AC">
        <w:rPr>
          <w:kern w:val="16"/>
        </w:rPr>
        <w:t xml:space="preserve">y planned, assuming a </w:t>
      </w:r>
      <w:r w:rsidR="00197E0F">
        <w:rPr>
          <w:kern w:val="16"/>
        </w:rPr>
        <w:t>beginning</w:t>
      </w:r>
      <w:r w:rsidR="00D542AC">
        <w:rPr>
          <w:kern w:val="16"/>
        </w:rPr>
        <w:t xml:space="preserve"> of the intervention on the interconnections</w:t>
      </w:r>
      <w:r w:rsidR="004B076D">
        <w:rPr>
          <w:kern w:val="16"/>
        </w:rPr>
        <w:t xml:space="preserve"> (ICs)</w:t>
      </w:r>
      <w:r w:rsidR="00382378">
        <w:rPr>
          <w:kern w:val="16"/>
        </w:rPr>
        <w:t xml:space="preserve"> in January 2013:</w:t>
      </w:r>
    </w:p>
    <w:p w:rsidR="00D542AC" w:rsidRDefault="00D542AC" w:rsidP="00CB1F27">
      <w:pPr>
        <w:pStyle w:val="BodyTextIndent"/>
        <w:rPr>
          <w:kern w:val="16"/>
        </w:rPr>
      </w:pPr>
      <w:r>
        <w:rPr>
          <w:kern w:val="16"/>
        </w:rPr>
        <w:t>- 3</w:t>
      </w:r>
      <w:r w:rsidRPr="00D542AC">
        <w:rPr>
          <w:kern w:val="16"/>
          <w:vertAlign w:val="superscript"/>
        </w:rPr>
        <w:t>rd</w:t>
      </w:r>
      <w:r>
        <w:rPr>
          <w:kern w:val="16"/>
        </w:rPr>
        <w:t xml:space="preserve"> Review: September 2012: </w:t>
      </w:r>
      <w:r w:rsidR="003475B1">
        <w:rPr>
          <w:kern w:val="16"/>
        </w:rPr>
        <w:tab/>
      </w:r>
      <w:r>
        <w:rPr>
          <w:kern w:val="16"/>
        </w:rPr>
        <w:t>Production Readiness</w:t>
      </w:r>
    </w:p>
    <w:p w:rsidR="00D542AC" w:rsidRDefault="00D542AC" w:rsidP="00CB1F27">
      <w:pPr>
        <w:pStyle w:val="BodyTextIndent"/>
        <w:rPr>
          <w:kern w:val="16"/>
        </w:rPr>
      </w:pPr>
      <w:r>
        <w:rPr>
          <w:kern w:val="16"/>
        </w:rPr>
        <w:t>- 4</w:t>
      </w:r>
      <w:r w:rsidRPr="00D542AC">
        <w:rPr>
          <w:kern w:val="16"/>
          <w:vertAlign w:val="superscript"/>
        </w:rPr>
        <w:t>th</w:t>
      </w:r>
      <w:r>
        <w:rPr>
          <w:kern w:val="16"/>
        </w:rPr>
        <w:t xml:space="preserve"> Review: March 2013: </w:t>
      </w:r>
      <w:r w:rsidR="003475B1">
        <w:rPr>
          <w:kern w:val="16"/>
        </w:rPr>
        <w:tab/>
      </w:r>
      <w:r>
        <w:rPr>
          <w:kern w:val="16"/>
        </w:rPr>
        <w:t>Quality Audit</w:t>
      </w:r>
    </w:p>
    <w:p w:rsidR="00557750" w:rsidRDefault="00197E0F" w:rsidP="00CB1F27">
      <w:pPr>
        <w:pStyle w:val="BodyTextIndent"/>
        <w:rPr>
          <w:kern w:val="16"/>
        </w:rPr>
      </w:pPr>
      <w:r>
        <w:rPr>
          <w:kern w:val="16"/>
        </w:rPr>
        <w:t>A f</w:t>
      </w:r>
      <w:r w:rsidR="00D542AC">
        <w:rPr>
          <w:kern w:val="16"/>
        </w:rPr>
        <w:t xml:space="preserve">unctional </w:t>
      </w:r>
      <w:r>
        <w:rPr>
          <w:kern w:val="16"/>
        </w:rPr>
        <w:t>s</w:t>
      </w:r>
      <w:r w:rsidR="003475B1">
        <w:rPr>
          <w:kern w:val="16"/>
        </w:rPr>
        <w:t>pecification</w:t>
      </w:r>
      <w:r w:rsidR="008527AA">
        <w:rPr>
          <w:kern w:val="16"/>
        </w:rPr>
        <w:t xml:space="preserve"> </w:t>
      </w:r>
      <w:r w:rsidR="00CB1F27">
        <w:rPr>
          <w:kern w:val="16"/>
        </w:rPr>
        <w:t xml:space="preserve">[2], formalising the requirements defined in the </w:t>
      </w:r>
      <w:r>
        <w:rPr>
          <w:kern w:val="16"/>
        </w:rPr>
        <w:t>frame of the splices task force </w:t>
      </w:r>
      <w:r w:rsidR="00CB1F27">
        <w:rPr>
          <w:kern w:val="16"/>
        </w:rPr>
        <w:t>[</w:t>
      </w:r>
      <w:r w:rsidR="00D542AC">
        <w:rPr>
          <w:kern w:val="16"/>
        </w:rPr>
        <w:t>3</w:t>
      </w:r>
      <w:r w:rsidR="00CB1F27">
        <w:rPr>
          <w:kern w:val="16"/>
        </w:rPr>
        <w:t>]</w:t>
      </w:r>
      <w:r w:rsidR="00D542AC">
        <w:rPr>
          <w:kern w:val="16"/>
        </w:rPr>
        <w:t xml:space="preserve">, was written. </w:t>
      </w:r>
      <w:r w:rsidR="00CB1F27">
        <w:rPr>
          <w:kern w:val="16"/>
        </w:rPr>
        <w:t xml:space="preserve">The </w:t>
      </w:r>
      <w:r w:rsidR="003475B1">
        <w:rPr>
          <w:kern w:val="16"/>
        </w:rPr>
        <w:t xml:space="preserve">final </w:t>
      </w:r>
      <w:r w:rsidR="00CB1F27">
        <w:rPr>
          <w:kern w:val="16"/>
        </w:rPr>
        <w:t>design of the consolidated shunt was assessed to m</w:t>
      </w:r>
      <w:r w:rsidR="003475B1">
        <w:rPr>
          <w:kern w:val="16"/>
        </w:rPr>
        <w:t>eet all the requirements</w:t>
      </w:r>
      <w:r w:rsidR="00CB1F27">
        <w:rPr>
          <w:kern w:val="16"/>
        </w:rPr>
        <w:t>. This is a major achievement. At the time of</w:t>
      </w:r>
      <w:r w:rsidR="00D542AC">
        <w:rPr>
          <w:kern w:val="16"/>
        </w:rPr>
        <w:t xml:space="preserve"> the review, the electrical ins</w:t>
      </w:r>
      <w:r>
        <w:rPr>
          <w:kern w:val="16"/>
        </w:rPr>
        <w:t>ulation was almost finalised except</w:t>
      </w:r>
      <w:r w:rsidR="00D542AC">
        <w:rPr>
          <w:kern w:val="16"/>
        </w:rPr>
        <w:t xml:space="preserve"> </w:t>
      </w:r>
      <w:r w:rsidR="008527AA">
        <w:rPr>
          <w:kern w:val="16"/>
        </w:rPr>
        <w:t xml:space="preserve">for </w:t>
      </w:r>
      <w:r w:rsidR="00D542AC">
        <w:rPr>
          <w:kern w:val="16"/>
        </w:rPr>
        <w:t xml:space="preserve">some details. Now, a final concept, answering </w:t>
      </w:r>
      <w:r w:rsidR="00557750">
        <w:rPr>
          <w:kern w:val="16"/>
        </w:rPr>
        <w:t>positively</w:t>
      </w:r>
      <w:r w:rsidR="00D542AC">
        <w:rPr>
          <w:kern w:val="16"/>
        </w:rPr>
        <w:t xml:space="preserve"> the remarks of the </w:t>
      </w:r>
      <w:r>
        <w:rPr>
          <w:kern w:val="16"/>
        </w:rPr>
        <w:t>r</w:t>
      </w:r>
      <w:r w:rsidR="00D542AC">
        <w:rPr>
          <w:kern w:val="16"/>
        </w:rPr>
        <w:t xml:space="preserve">eview </w:t>
      </w:r>
      <w:r>
        <w:rPr>
          <w:kern w:val="16"/>
        </w:rPr>
        <w:t>c</w:t>
      </w:r>
      <w:r w:rsidR="00D542AC">
        <w:rPr>
          <w:kern w:val="16"/>
        </w:rPr>
        <w:t>ommittee</w:t>
      </w:r>
      <w:r w:rsidR="003475B1">
        <w:rPr>
          <w:kern w:val="16"/>
        </w:rPr>
        <w:t>,</w:t>
      </w:r>
      <w:r w:rsidR="00D542AC">
        <w:rPr>
          <w:kern w:val="16"/>
        </w:rPr>
        <w:t xml:space="preserve"> is available. </w:t>
      </w:r>
    </w:p>
    <w:p w:rsidR="00557750" w:rsidRDefault="00557750" w:rsidP="00CB1F27">
      <w:pPr>
        <w:pStyle w:val="BodyTextIndent"/>
        <w:rPr>
          <w:kern w:val="16"/>
        </w:rPr>
      </w:pPr>
      <w:r>
        <w:rPr>
          <w:kern w:val="16"/>
        </w:rPr>
        <w:t>The criteria used to decide if a splice has to be redone were found adequate:</w:t>
      </w:r>
    </w:p>
    <w:p w:rsidR="00557750" w:rsidRDefault="00557750" w:rsidP="003475B1">
      <w:pPr>
        <w:pStyle w:val="BodyTextIndent"/>
        <w:numPr>
          <w:ilvl w:val="0"/>
          <w:numId w:val="27"/>
        </w:numPr>
        <w:ind w:hanging="218"/>
        <w:rPr>
          <w:kern w:val="16"/>
        </w:rPr>
      </w:pPr>
      <w:r>
        <w:rPr>
          <w:kern w:val="16"/>
        </w:rPr>
        <w:t>R_8_excess &gt; 5 </w:t>
      </w:r>
      <w:r>
        <w:rPr>
          <w:kern w:val="16"/>
        </w:rPr>
        <w:sym w:font="Symbol" w:char="F06D"/>
      </w:r>
      <w:r>
        <w:rPr>
          <w:kern w:val="16"/>
        </w:rPr>
        <w:sym w:font="Symbol" w:char="F057"/>
      </w:r>
      <w:r w:rsidR="00197E0F">
        <w:rPr>
          <w:kern w:val="16"/>
        </w:rPr>
        <w:t xml:space="preserve"> (Resistance of the copper to copper junction)</w:t>
      </w:r>
    </w:p>
    <w:p w:rsidR="00557750" w:rsidRDefault="00557750" w:rsidP="003475B1">
      <w:pPr>
        <w:pStyle w:val="BodyTextIndent"/>
        <w:numPr>
          <w:ilvl w:val="0"/>
          <w:numId w:val="27"/>
        </w:numPr>
        <w:ind w:hanging="218"/>
        <w:rPr>
          <w:kern w:val="16"/>
        </w:rPr>
      </w:pPr>
      <w:r>
        <w:rPr>
          <w:kern w:val="16"/>
        </w:rPr>
        <w:t xml:space="preserve">Outlying </w:t>
      </w:r>
      <w:proofErr w:type="spellStart"/>
      <w:r>
        <w:rPr>
          <w:kern w:val="16"/>
        </w:rPr>
        <w:t>R_splices</w:t>
      </w:r>
      <w:proofErr w:type="spellEnd"/>
      <w:r>
        <w:rPr>
          <w:kern w:val="16"/>
        </w:rPr>
        <w:t xml:space="preserve"> @ 1.9 K (</w:t>
      </w:r>
      <w:r w:rsidR="008527AA">
        <w:rPr>
          <w:kern w:val="16"/>
        </w:rPr>
        <w:t>a m</w:t>
      </w:r>
      <w:r>
        <w:rPr>
          <w:kern w:val="16"/>
        </w:rPr>
        <w:t>ax</w:t>
      </w:r>
      <w:r w:rsidR="008527AA">
        <w:rPr>
          <w:kern w:val="16"/>
        </w:rPr>
        <w:t>imum of</w:t>
      </w:r>
      <w:r>
        <w:rPr>
          <w:kern w:val="16"/>
        </w:rPr>
        <w:t xml:space="preserve"> 123 splices)</w:t>
      </w:r>
      <w:r w:rsidR="00197E0F">
        <w:rPr>
          <w:kern w:val="16"/>
        </w:rPr>
        <w:t xml:space="preserve"> (Resistance of the superconductor to superconductor junction)</w:t>
      </w:r>
    </w:p>
    <w:p w:rsidR="00557750" w:rsidRDefault="00557750" w:rsidP="003475B1">
      <w:pPr>
        <w:pStyle w:val="BodyTextIndent"/>
        <w:numPr>
          <w:ilvl w:val="0"/>
          <w:numId w:val="27"/>
        </w:numPr>
        <w:ind w:hanging="218"/>
        <w:rPr>
          <w:kern w:val="16"/>
        </w:rPr>
      </w:pPr>
      <w:r>
        <w:rPr>
          <w:kern w:val="16"/>
        </w:rPr>
        <w:t>Geometry not allowing nominal shunt installation</w:t>
      </w:r>
    </w:p>
    <w:p w:rsidR="00557750" w:rsidRDefault="00557750" w:rsidP="003475B1">
      <w:pPr>
        <w:pStyle w:val="BodyTextIndent"/>
        <w:numPr>
          <w:ilvl w:val="0"/>
          <w:numId w:val="27"/>
        </w:numPr>
        <w:ind w:hanging="218"/>
        <w:rPr>
          <w:kern w:val="16"/>
        </w:rPr>
      </w:pPr>
      <w:r>
        <w:rPr>
          <w:kern w:val="16"/>
        </w:rPr>
        <w:t>Visual defects</w:t>
      </w:r>
    </w:p>
    <w:p w:rsidR="00557750" w:rsidRDefault="00197E0F" w:rsidP="00557750">
      <w:pPr>
        <w:pStyle w:val="BodyTextIndent"/>
        <w:rPr>
          <w:kern w:val="16"/>
        </w:rPr>
      </w:pPr>
      <w:r>
        <w:rPr>
          <w:kern w:val="16"/>
        </w:rPr>
        <w:t>Since r</w:t>
      </w:r>
      <w:r w:rsidR="00557750">
        <w:rPr>
          <w:kern w:val="16"/>
        </w:rPr>
        <w:t>edoing a splice is not a riskless operation</w:t>
      </w:r>
      <w:r w:rsidR="002B0F6E">
        <w:rPr>
          <w:kern w:val="16"/>
        </w:rPr>
        <w:t xml:space="preserve"> (major intervention on the delicate Rutherford superconducting cables)</w:t>
      </w:r>
      <w:r>
        <w:rPr>
          <w:kern w:val="16"/>
        </w:rPr>
        <w:t>,</w:t>
      </w:r>
      <w:r w:rsidR="00557750">
        <w:rPr>
          <w:kern w:val="16"/>
        </w:rPr>
        <w:t xml:space="preserve"> </w:t>
      </w:r>
      <w:r>
        <w:rPr>
          <w:kern w:val="16"/>
        </w:rPr>
        <w:t xml:space="preserve">and </w:t>
      </w:r>
      <w:r w:rsidR="00557750">
        <w:rPr>
          <w:kern w:val="16"/>
        </w:rPr>
        <w:t>it takes t</w:t>
      </w:r>
      <w:r>
        <w:rPr>
          <w:kern w:val="16"/>
        </w:rPr>
        <w:t>ime and resources</w:t>
      </w:r>
      <w:r w:rsidR="002B0F6E">
        <w:rPr>
          <w:kern w:val="16"/>
        </w:rPr>
        <w:t xml:space="preserve">, reworking has to be done only if </w:t>
      </w:r>
      <w:r>
        <w:rPr>
          <w:kern w:val="16"/>
        </w:rPr>
        <w:t xml:space="preserve">strictly </w:t>
      </w:r>
      <w:r w:rsidR="002B0F6E">
        <w:rPr>
          <w:kern w:val="16"/>
        </w:rPr>
        <w:t xml:space="preserve">necessary. </w:t>
      </w:r>
    </w:p>
    <w:p w:rsidR="00DD32B4" w:rsidRDefault="00D542AC" w:rsidP="00CB1F27">
      <w:pPr>
        <w:pStyle w:val="BodyTextIndent"/>
        <w:rPr>
          <w:kern w:val="16"/>
        </w:rPr>
      </w:pPr>
      <w:r>
        <w:rPr>
          <w:kern w:val="16"/>
        </w:rPr>
        <w:t>The proposal to install single shunt</w:t>
      </w:r>
      <w:r w:rsidR="00197E0F">
        <w:rPr>
          <w:kern w:val="16"/>
        </w:rPr>
        <w:t>s</w:t>
      </w:r>
      <w:r>
        <w:rPr>
          <w:kern w:val="16"/>
        </w:rPr>
        <w:t xml:space="preserve"> on the </w:t>
      </w:r>
      <w:proofErr w:type="spellStart"/>
      <w:r>
        <w:rPr>
          <w:kern w:val="16"/>
        </w:rPr>
        <w:t>quadrupole</w:t>
      </w:r>
      <w:proofErr w:type="spellEnd"/>
      <w:r>
        <w:rPr>
          <w:kern w:val="16"/>
        </w:rPr>
        <w:t xml:space="preserve"> circuits, after validation in the splices </w:t>
      </w:r>
      <w:r w:rsidR="00197E0F">
        <w:rPr>
          <w:kern w:val="16"/>
        </w:rPr>
        <w:t>t</w:t>
      </w:r>
      <w:r>
        <w:rPr>
          <w:kern w:val="16"/>
        </w:rPr>
        <w:t xml:space="preserve">ask </w:t>
      </w:r>
      <w:r w:rsidR="00197E0F">
        <w:rPr>
          <w:kern w:val="16"/>
        </w:rPr>
        <w:t>f</w:t>
      </w:r>
      <w:r>
        <w:rPr>
          <w:kern w:val="16"/>
        </w:rPr>
        <w:t>orce, was endorsed by the international review committee</w:t>
      </w:r>
      <w:r w:rsidR="003475B1">
        <w:rPr>
          <w:kern w:val="16"/>
        </w:rPr>
        <w:t>,</w:t>
      </w:r>
      <w:r>
        <w:rPr>
          <w:kern w:val="16"/>
        </w:rPr>
        <w:t xml:space="preserve"> </w:t>
      </w:r>
      <w:r w:rsidR="003475B1">
        <w:rPr>
          <w:kern w:val="16"/>
        </w:rPr>
        <w:t>under</w:t>
      </w:r>
      <w:r>
        <w:rPr>
          <w:kern w:val="16"/>
        </w:rPr>
        <w:t xml:space="preserve"> the followin</w:t>
      </w:r>
      <w:r w:rsidR="003475B1">
        <w:rPr>
          <w:kern w:val="16"/>
        </w:rPr>
        <w:t>g conditions</w:t>
      </w:r>
      <w:r>
        <w:rPr>
          <w:kern w:val="16"/>
        </w:rPr>
        <w:t>:</w:t>
      </w:r>
    </w:p>
    <w:p w:rsidR="00D542AC" w:rsidRDefault="005970CE" w:rsidP="003475B1">
      <w:pPr>
        <w:pStyle w:val="BodyTextIndent"/>
        <w:numPr>
          <w:ilvl w:val="0"/>
          <w:numId w:val="29"/>
        </w:numPr>
        <w:ind w:left="284" w:hanging="284"/>
        <w:rPr>
          <w:kern w:val="16"/>
        </w:rPr>
      </w:pPr>
      <w:r>
        <w:rPr>
          <w:kern w:val="16"/>
        </w:rPr>
        <w:lastRenderedPageBreak/>
        <w:t>Strict application of the production and quality control procedures</w:t>
      </w:r>
      <w:r w:rsidR="00197E0F">
        <w:rPr>
          <w:kern w:val="16"/>
        </w:rPr>
        <w:t>;</w:t>
      </w:r>
    </w:p>
    <w:p w:rsidR="002B0F6E" w:rsidRDefault="002B0F6E" w:rsidP="003475B1">
      <w:pPr>
        <w:pStyle w:val="BodyTextIndent"/>
        <w:numPr>
          <w:ilvl w:val="0"/>
          <w:numId w:val="29"/>
        </w:numPr>
        <w:ind w:left="284" w:hanging="284"/>
        <w:rPr>
          <w:kern w:val="16"/>
        </w:rPr>
      </w:pPr>
      <w:r>
        <w:rPr>
          <w:kern w:val="16"/>
        </w:rPr>
        <w:t>The clamp is effective</w:t>
      </w:r>
      <w:r w:rsidRPr="002B0F6E">
        <w:rPr>
          <w:kern w:val="16"/>
        </w:rPr>
        <w:t xml:space="preserve"> in limiting the deflection and stress on splice, to prevent the future degradation of the copper stabilizer connection</w:t>
      </w:r>
      <w:r w:rsidR="00197E0F">
        <w:rPr>
          <w:kern w:val="16"/>
        </w:rPr>
        <w:t>;</w:t>
      </w:r>
    </w:p>
    <w:p w:rsidR="002B0F6E" w:rsidRPr="002B0F6E" w:rsidRDefault="00197E0F" w:rsidP="003475B1">
      <w:pPr>
        <w:pStyle w:val="BodyTextIndent"/>
        <w:numPr>
          <w:ilvl w:val="0"/>
          <w:numId w:val="29"/>
        </w:numPr>
        <w:ind w:left="284" w:hanging="284"/>
        <w:rPr>
          <w:kern w:val="16"/>
          <w:lang w:val="en-US"/>
        </w:rPr>
      </w:pPr>
      <w:r>
        <w:rPr>
          <w:kern w:val="16"/>
          <w:lang w:val="en-BZ"/>
        </w:rPr>
        <w:t>The e</w:t>
      </w:r>
      <w:r w:rsidR="002B0F6E" w:rsidRPr="002B0F6E">
        <w:rPr>
          <w:kern w:val="16"/>
          <w:lang w:val="en-BZ"/>
        </w:rPr>
        <w:t xml:space="preserve">nergy </w:t>
      </w:r>
      <w:r>
        <w:rPr>
          <w:kern w:val="16"/>
          <w:lang w:val="en-BZ"/>
        </w:rPr>
        <w:t>e</w:t>
      </w:r>
      <w:r w:rsidR="002B0F6E" w:rsidRPr="002B0F6E">
        <w:rPr>
          <w:kern w:val="16"/>
          <w:lang w:val="en-BZ"/>
        </w:rPr>
        <w:t xml:space="preserve">xtraction time constant is reduced to </w:t>
      </w:r>
      <w:r w:rsidR="00F14C84">
        <w:rPr>
          <w:kern w:val="16"/>
          <w:lang w:val="en-US"/>
        </w:rPr>
        <w:t>less than</w:t>
      </w:r>
      <w:r w:rsidR="00F14C84">
        <w:rPr>
          <w:kern w:val="16"/>
          <w:lang w:val="en-BZ"/>
        </w:rPr>
        <w:t xml:space="preserve"> 20 </w:t>
      </w:r>
      <w:r w:rsidR="002B0F6E" w:rsidRPr="002B0F6E">
        <w:rPr>
          <w:kern w:val="16"/>
          <w:lang w:val="en-BZ"/>
        </w:rPr>
        <w:t>s</w:t>
      </w:r>
      <w:r>
        <w:rPr>
          <w:kern w:val="16"/>
          <w:lang w:val="en-BZ"/>
        </w:rPr>
        <w:t>.</w:t>
      </w:r>
      <w:r w:rsidR="002B0F6E">
        <w:rPr>
          <w:kern w:val="16"/>
          <w:lang w:val="en-BZ"/>
        </w:rPr>
        <w:t xml:space="preserve"> [4]</w:t>
      </w:r>
      <w:r>
        <w:rPr>
          <w:kern w:val="16"/>
          <w:lang w:val="en-BZ"/>
        </w:rPr>
        <w:t>;</w:t>
      </w:r>
    </w:p>
    <w:p w:rsidR="002B0F6E" w:rsidRDefault="002B0F6E" w:rsidP="002B0F6E">
      <w:pPr>
        <w:pStyle w:val="BodyTextIndent"/>
        <w:rPr>
          <w:kern w:val="16"/>
        </w:rPr>
      </w:pPr>
      <w:r>
        <w:rPr>
          <w:kern w:val="16"/>
        </w:rPr>
        <w:t>It was decided to consolidate the DFBA</w:t>
      </w:r>
      <w:r w:rsidR="00197E0F">
        <w:rPr>
          <w:kern w:val="16"/>
        </w:rPr>
        <w:t xml:space="preserve"> (Electrical </w:t>
      </w:r>
      <w:proofErr w:type="spellStart"/>
      <w:r w:rsidR="00197E0F">
        <w:rPr>
          <w:kern w:val="16"/>
        </w:rPr>
        <w:t>feedboxes</w:t>
      </w:r>
      <w:proofErr w:type="spellEnd"/>
      <w:r w:rsidR="00197E0F">
        <w:rPr>
          <w:kern w:val="16"/>
        </w:rPr>
        <w:t>)</w:t>
      </w:r>
      <w:r>
        <w:rPr>
          <w:kern w:val="16"/>
        </w:rPr>
        <w:t xml:space="preserve"> superconducting circuits (splices and </w:t>
      </w:r>
      <w:proofErr w:type="spellStart"/>
      <w:r>
        <w:rPr>
          <w:kern w:val="16"/>
        </w:rPr>
        <w:t>busbars</w:t>
      </w:r>
      <w:proofErr w:type="spellEnd"/>
      <w:r>
        <w:rPr>
          <w:kern w:val="16"/>
        </w:rPr>
        <w:t>) to the same standard as the arc ones</w:t>
      </w:r>
      <w:r w:rsidR="00DB02D5">
        <w:rPr>
          <w:kern w:val="16"/>
        </w:rPr>
        <w:t xml:space="preserve"> and the sharing of responsibilities is defined</w:t>
      </w:r>
      <w:r w:rsidR="005970CE">
        <w:rPr>
          <w:kern w:val="16"/>
        </w:rPr>
        <w:t> </w:t>
      </w:r>
      <w:r>
        <w:rPr>
          <w:kern w:val="16"/>
        </w:rPr>
        <w:t>[5]</w:t>
      </w:r>
      <w:r w:rsidR="00DB02D5">
        <w:rPr>
          <w:kern w:val="16"/>
        </w:rPr>
        <w:t xml:space="preserve">. For the intervention on the splices themselves, the same teams will take this in charge while the procedures, tooling and work to give access to them will be carried out by the responsible equipment group. It has to be noted that </w:t>
      </w:r>
      <w:r w:rsidR="003475B1">
        <w:rPr>
          <w:kern w:val="16"/>
        </w:rPr>
        <w:t xml:space="preserve">in </w:t>
      </w:r>
      <w:r w:rsidR="00DB02D5">
        <w:rPr>
          <w:kern w:val="16"/>
        </w:rPr>
        <w:t xml:space="preserve">2 out of the 16 DFBAs, some splices cannot be consolidated in-situ so methods lowering the inherent risk </w:t>
      </w:r>
      <w:r w:rsidR="000B740F">
        <w:rPr>
          <w:kern w:val="16"/>
        </w:rPr>
        <w:t>have to</w:t>
      </w:r>
      <w:r w:rsidR="00DB02D5">
        <w:rPr>
          <w:kern w:val="16"/>
        </w:rPr>
        <w:t xml:space="preserve"> be studied. </w:t>
      </w:r>
    </w:p>
    <w:p w:rsidR="00D542AC" w:rsidRDefault="00DB02D5" w:rsidP="00197E0F">
      <w:pPr>
        <w:pStyle w:val="BodyTextIndent"/>
        <w:rPr>
          <w:kern w:val="16"/>
        </w:rPr>
      </w:pPr>
      <w:r>
        <w:rPr>
          <w:kern w:val="16"/>
        </w:rPr>
        <w:t>All the superconducting circuits from current lead to current lead were screened by a pool of experts</w:t>
      </w:r>
      <w:r w:rsidR="00197E0F">
        <w:rPr>
          <w:kern w:val="16"/>
        </w:rPr>
        <w:t xml:space="preserve"> </w:t>
      </w:r>
      <w:r>
        <w:rPr>
          <w:kern w:val="16"/>
        </w:rPr>
        <w:t>[6]</w:t>
      </w:r>
      <w:r w:rsidR="001A2603">
        <w:rPr>
          <w:kern w:val="16"/>
        </w:rPr>
        <w:t xml:space="preserve">. </w:t>
      </w:r>
      <w:r w:rsidR="00197E0F">
        <w:rPr>
          <w:kern w:val="16"/>
        </w:rPr>
        <w:t>24 </w:t>
      </w:r>
      <w:r w:rsidR="001A2603">
        <w:rPr>
          <w:kern w:val="16"/>
        </w:rPr>
        <w:t>practical recommendations were formulated. The high risk issues concern mainly the 13 kA splices, hence the need to work on the arc splices but also on the DFBA ones (see above). Other weaknesses were identified like the spider</w:t>
      </w:r>
      <w:r w:rsidR="000B740F">
        <w:rPr>
          <w:kern w:val="16"/>
        </w:rPr>
        <w:t>s</w:t>
      </w:r>
      <w:r w:rsidR="00197E0F">
        <w:rPr>
          <w:kern w:val="16"/>
        </w:rPr>
        <w:t xml:space="preserve"> (</w:t>
      </w:r>
      <w:proofErr w:type="spellStart"/>
      <w:r w:rsidR="00197E0F">
        <w:rPr>
          <w:kern w:val="16"/>
        </w:rPr>
        <w:t>Busbars</w:t>
      </w:r>
      <w:proofErr w:type="spellEnd"/>
      <w:r w:rsidR="00197E0F">
        <w:rPr>
          <w:kern w:val="16"/>
        </w:rPr>
        <w:t xml:space="preserve"> supporting devices)</w:t>
      </w:r>
      <w:r w:rsidR="001A2603">
        <w:rPr>
          <w:kern w:val="16"/>
        </w:rPr>
        <w:t xml:space="preserve">. Procedures to consolidate them are under definition. On one </w:t>
      </w:r>
      <w:r w:rsidR="00197E0F">
        <w:rPr>
          <w:kern w:val="16"/>
        </w:rPr>
        <w:t xml:space="preserve">hand, this long shutdown is a possibility </w:t>
      </w:r>
      <w:r w:rsidR="001A2603">
        <w:rPr>
          <w:kern w:val="16"/>
        </w:rPr>
        <w:t xml:space="preserve">for a massive consolidation but on the other hand, the risks generated, the reliability improvement, the time and resources </w:t>
      </w:r>
      <w:r w:rsidR="000B740F">
        <w:rPr>
          <w:kern w:val="16"/>
        </w:rPr>
        <w:t xml:space="preserve">involved </w:t>
      </w:r>
      <w:r w:rsidR="001A2603">
        <w:rPr>
          <w:kern w:val="16"/>
        </w:rPr>
        <w:t>have to be taken into account i</w:t>
      </w:r>
      <w:r w:rsidR="001E2ABC">
        <w:rPr>
          <w:kern w:val="16"/>
        </w:rPr>
        <w:t>n the decision to do it or not.</w:t>
      </w:r>
    </w:p>
    <w:p w:rsidR="001E2ABC" w:rsidRDefault="001E2ABC" w:rsidP="002F36AF">
      <w:pPr>
        <w:pStyle w:val="BodyTextIndent"/>
        <w:rPr>
          <w:kern w:val="16"/>
        </w:rPr>
      </w:pPr>
    </w:p>
    <w:p w:rsidR="009D1438" w:rsidRDefault="001A2603" w:rsidP="003C52DD">
      <w:pPr>
        <w:pStyle w:val="Heading2"/>
        <w:spacing w:before="180"/>
        <w:rPr>
          <w:rFonts w:cs="Times New Roman"/>
        </w:rPr>
      </w:pPr>
      <w:r>
        <w:rPr>
          <w:rFonts w:cs="Times New Roman"/>
        </w:rPr>
        <w:t>special interventions</w:t>
      </w:r>
    </w:p>
    <w:p w:rsidR="002F36AF" w:rsidRPr="002F36AF" w:rsidRDefault="002F36AF" w:rsidP="002F36AF">
      <w:pPr>
        <w:pStyle w:val="BodyTextIndent"/>
      </w:pPr>
      <w:r>
        <w:rPr>
          <w:kern w:val="16"/>
        </w:rPr>
        <w:t>This topic was covered in [7]; an update is given here.</w:t>
      </w:r>
    </w:p>
    <w:p w:rsidR="001A2603" w:rsidRPr="00EA653A" w:rsidRDefault="00197E0F" w:rsidP="001A2603">
      <w:pPr>
        <w:pStyle w:val="Heading3"/>
        <w:rPr>
          <w:rFonts w:cs="Times New Roman"/>
          <w:kern w:val="16"/>
        </w:rPr>
      </w:pPr>
      <w:r>
        <w:rPr>
          <w:rFonts w:cs="Times New Roman"/>
          <w:kern w:val="16"/>
        </w:rPr>
        <w:t>Replacement</w:t>
      </w:r>
      <w:r w:rsidR="00185AF2">
        <w:rPr>
          <w:rFonts w:cs="Times New Roman"/>
          <w:kern w:val="16"/>
        </w:rPr>
        <w:t xml:space="preserve"> of magnets</w:t>
      </w:r>
    </w:p>
    <w:p w:rsidR="00CB6A1B" w:rsidRDefault="00F14C84" w:rsidP="00AB6B64">
      <w:pPr>
        <w:pStyle w:val="BodyTextIndent"/>
        <w:ind w:firstLine="170"/>
        <w:rPr>
          <w:kern w:val="16"/>
        </w:rPr>
      </w:pPr>
      <w:r>
        <w:rPr>
          <w:kern w:val="16"/>
        </w:rPr>
        <w:t xml:space="preserve">8 dipoles and 1 </w:t>
      </w:r>
      <w:r w:rsidR="00197E0F">
        <w:rPr>
          <w:kern w:val="16"/>
        </w:rPr>
        <w:t>short straight section</w:t>
      </w:r>
      <w:r w:rsidR="000B740F">
        <w:rPr>
          <w:kern w:val="16"/>
        </w:rPr>
        <w:t xml:space="preserve"> </w:t>
      </w:r>
      <w:r w:rsidR="00197E0F">
        <w:rPr>
          <w:kern w:val="16"/>
        </w:rPr>
        <w:t xml:space="preserve">will be replaced </w:t>
      </w:r>
      <w:r w:rsidR="000B740F">
        <w:rPr>
          <w:kern w:val="16"/>
        </w:rPr>
        <w:t>because of their</w:t>
      </w:r>
      <w:r>
        <w:rPr>
          <w:kern w:val="16"/>
        </w:rPr>
        <w:t xml:space="preserve"> high inner splice resistance. This amount was estimated last year but is now substantiated by a careful analysis and </w:t>
      </w:r>
      <w:r w:rsidR="00AB6B64">
        <w:rPr>
          <w:kern w:val="16"/>
        </w:rPr>
        <w:t xml:space="preserve">a </w:t>
      </w:r>
      <w:r w:rsidR="00197E0F">
        <w:rPr>
          <w:kern w:val="16"/>
        </w:rPr>
        <w:t>massive</w:t>
      </w:r>
      <w:r w:rsidR="00AB6B64">
        <w:rPr>
          <w:kern w:val="16"/>
        </w:rPr>
        <w:t xml:space="preserve"> </w:t>
      </w:r>
      <w:r>
        <w:rPr>
          <w:kern w:val="16"/>
        </w:rPr>
        <w:t xml:space="preserve">test programme [8]. It was concluded that leaving these 9 magnets </w:t>
      </w:r>
      <w:r w:rsidR="005970CE">
        <w:rPr>
          <w:kern w:val="16"/>
        </w:rPr>
        <w:t>would be too risky due to</w:t>
      </w:r>
      <w:r w:rsidR="00AB6B64">
        <w:rPr>
          <w:kern w:val="16"/>
        </w:rPr>
        <w:t xml:space="preserve"> a possible lack of mechanical strength. On the other hand, some extra 30 magnets present a very small risk. As the approach used is very conservative and as no degradation was noticed in LHC </w:t>
      </w:r>
      <w:r w:rsidR="00D8783B">
        <w:rPr>
          <w:kern w:val="16"/>
        </w:rPr>
        <w:t>o</w:t>
      </w:r>
      <w:r w:rsidR="00AB6B64">
        <w:rPr>
          <w:kern w:val="16"/>
        </w:rPr>
        <w:t xml:space="preserve">r in SM18 extensive testing, this risk </w:t>
      </w:r>
      <w:r w:rsidR="000B740F">
        <w:rPr>
          <w:kern w:val="16"/>
        </w:rPr>
        <w:t>i</w:t>
      </w:r>
      <w:r w:rsidR="00197E0F">
        <w:rPr>
          <w:kern w:val="16"/>
        </w:rPr>
        <w:t>s accepted. The</w:t>
      </w:r>
      <w:r w:rsidR="00AB6B64">
        <w:rPr>
          <w:kern w:val="16"/>
        </w:rPr>
        <w:t xml:space="preserve"> magnets </w:t>
      </w:r>
      <w:r w:rsidR="00197E0F">
        <w:rPr>
          <w:kern w:val="16"/>
        </w:rPr>
        <w:t xml:space="preserve">removed </w:t>
      </w:r>
      <w:r w:rsidR="00AB6B64">
        <w:rPr>
          <w:kern w:val="16"/>
        </w:rPr>
        <w:t>during LS1 wil</w:t>
      </w:r>
      <w:r w:rsidR="00197E0F">
        <w:rPr>
          <w:kern w:val="16"/>
        </w:rPr>
        <w:t>l</w:t>
      </w:r>
      <w:r w:rsidR="00AB6B64">
        <w:rPr>
          <w:kern w:val="16"/>
        </w:rPr>
        <w:t xml:space="preserve"> be tested and inspected, and th</w:t>
      </w:r>
      <w:r w:rsidR="00197E0F">
        <w:rPr>
          <w:kern w:val="16"/>
        </w:rPr>
        <w:t>is</w:t>
      </w:r>
      <w:r w:rsidR="00AB6B64">
        <w:rPr>
          <w:kern w:val="16"/>
        </w:rPr>
        <w:t xml:space="preserve"> will help to elaborate the strategy for possible </w:t>
      </w:r>
      <w:r w:rsidR="005970CE">
        <w:rPr>
          <w:kern w:val="16"/>
        </w:rPr>
        <w:t>replacement</w:t>
      </w:r>
      <w:r w:rsidR="00AB6B64">
        <w:rPr>
          <w:kern w:val="16"/>
        </w:rPr>
        <w:t xml:space="preserve"> of magnets during LS2.</w:t>
      </w:r>
    </w:p>
    <w:p w:rsidR="00AB6B64" w:rsidRDefault="000B740F" w:rsidP="00AB6B64">
      <w:pPr>
        <w:pStyle w:val="BodyTextIndent"/>
        <w:ind w:firstLine="170"/>
        <w:rPr>
          <w:noProof/>
          <w:kern w:val="16"/>
          <w:lang w:val="en-US"/>
        </w:rPr>
      </w:pPr>
      <w:r>
        <w:rPr>
          <w:noProof/>
          <w:kern w:val="16"/>
          <w:lang w:val="en-US"/>
        </w:rPr>
        <w:t>4</w:t>
      </w:r>
      <w:r w:rsidR="00AB6B64">
        <w:rPr>
          <w:noProof/>
          <w:kern w:val="16"/>
          <w:lang w:val="en-US"/>
        </w:rPr>
        <w:t xml:space="preserve"> dipoles will have to be replaced because of a weakness in the</w:t>
      </w:r>
      <w:r w:rsidR="00197E0F">
        <w:rPr>
          <w:noProof/>
          <w:kern w:val="16"/>
          <w:lang w:val="en-US"/>
        </w:rPr>
        <w:t xml:space="preserve"> quench heater circuit. One </w:t>
      </w:r>
      <w:r w:rsidR="00AB6B64">
        <w:rPr>
          <w:noProof/>
          <w:kern w:val="16"/>
          <w:lang w:val="en-US"/>
        </w:rPr>
        <w:t>magnet does not presently withstand the voltage of 1.9 kV. A repair in-situ will be tried at the beginning of the LS1</w:t>
      </w:r>
      <w:r w:rsidR="0064721C">
        <w:rPr>
          <w:noProof/>
          <w:kern w:val="16"/>
          <w:lang w:val="en-US"/>
        </w:rPr>
        <w:t>. Nevertheless</w:t>
      </w:r>
      <w:r w:rsidR="00AB6B64">
        <w:rPr>
          <w:noProof/>
          <w:kern w:val="16"/>
          <w:lang w:val="en-US"/>
        </w:rPr>
        <w:t xml:space="preserve"> </w:t>
      </w:r>
      <w:r w:rsidR="00AB6B64">
        <w:rPr>
          <w:noProof/>
          <w:kern w:val="16"/>
          <w:lang w:val="en-US"/>
        </w:rPr>
        <w:lastRenderedPageBreak/>
        <w:t>a spare and the resources will be foreseen for an e</w:t>
      </w:r>
      <w:r w:rsidR="0064721C">
        <w:rPr>
          <w:noProof/>
          <w:kern w:val="16"/>
          <w:lang w:val="en-US"/>
        </w:rPr>
        <w:t>x</w:t>
      </w:r>
      <w:r w:rsidR="00AB6B64">
        <w:rPr>
          <w:noProof/>
          <w:kern w:val="16"/>
          <w:lang w:val="en-US"/>
        </w:rPr>
        <w:t xml:space="preserve">change if </w:t>
      </w:r>
      <w:r w:rsidR="0064721C">
        <w:rPr>
          <w:noProof/>
          <w:kern w:val="16"/>
          <w:lang w:val="en-US"/>
        </w:rPr>
        <w:t xml:space="preserve">the repair is not succesfull. </w:t>
      </w:r>
    </w:p>
    <w:p w:rsidR="0064721C" w:rsidRDefault="00197E0F" w:rsidP="00AB6B64">
      <w:pPr>
        <w:pStyle w:val="BodyTextIndent"/>
        <w:ind w:firstLine="170"/>
        <w:rPr>
          <w:noProof/>
          <w:kern w:val="16"/>
          <w:lang w:val="en-US"/>
        </w:rPr>
      </w:pPr>
      <w:r>
        <w:rPr>
          <w:noProof/>
          <w:kern w:val="16"/>
          <w:lang w:val="en-US"/>
        </w:rPr>
        <w:t xml:space="preserve">14 </w:t>
      </w:r>
      <w:r w:rsidR="0064721C">
        <w:rPr>
          <w:noProof/>
          <w:kern w:val="16"/>
          <w:lang w:val="en-US"/>
        </w:rPr>
        <w:t xml:space="preserve">magnets have wrongly oriented beam screens around the LHC ring. This could increase the heat load because the synchrotron radiation will generate more electrons. </w:t>
      </w:r>
      <w:r w:rsidR="00D8783B" w:rsidRPr="00D8783B">
        <w:rPr>
          <w:noProof/>
          <w:kern w:val="16"/>
          <w:lang w:val="en-US"/>
        </w:rPr>
        <w:t>Such an effect cannot be measure at 3</w:t>
      </w:r>
      <w:r w:rsidR="00D8783B">
        <w:rPr>
          <w:noProof/>
          <w:kern w:val="16"/>
          <w:lang w:val="en-US"/>
        </w:rPr>
        <w:t> </w:t>
      </w:r>
      <w:r w:rsidR="00D8783B" w:rsidRPr="00D8783B">
        <w:rPr>
          <w:noProof/>
          <w:kern w:val="16"/>
          <w:lang w:val="en-US"/>
        </w:rPr>
        <w:t>TeV, but might become relevant at 7</w:t>
      </w:r>
      <w:r w:rsidR="00D8783B">
        <w:rPr>
          <w:noProof/>
          <w:kern w:val="16"/>
          <w:lang w:val="en-US"/>
        </w:rPr>
        <w:t> </w:t>
      </w:r>
      <w:r w:rsidR="00D8783B" w:rsidRPr="00D8783B">
        <w:rPr>
          <w:noProof/>
          <w:kern w:val="16"/>
          <w:lang w:val="en-US"/>
        </w:rPr>
        <w:t>TeV.</w:t>
      </w:r>
      <w:r w:rsidR="00D8783B">
        <w:rPr>
          <w:noProof/>
          <w:kern w:val="16"/>
          <w:lang w:val="en-US"/>
        </w:rPr>
        <w:t xml:space="preserve"> In R</w:t>
      </w:r>
      <w:r w:rsidR="0064721C">
        <w:rPr>
          <w:noProof/>
          <w:kern w:val="16"/>
          <w:lang w:val="en-US"/>
        </w:rPr>
        <w:t>ef</w:t>
      </w:r>
      <w:r>
        <w:rPr>
          <w:noProof/>
          <w:kern w:val="16"/>
          <w:lang w:val="en-US"/>
        </w:rPr>
        <w:t>.</w:t>
      </w:r>
      <w:r w:rsidR="0064721C">
        <w:rPr>
          <w:noProof/>
          <w:kern w:val="16"/>
          <w:lang w:val="en-US"/>
        </w:rPr>
        <w:t xml:space="preserve"> [9], it is recommended to install </w:t>
      </w:r>
      <w:r w:rsidR="00D9431A">
        <w:rPr>
          <w:noProof/>
          <w:kern w:val="16"/>
          <w:lang w:val="en-US"/>
        </w:rPr>
        <w:t xml:space="preserve">one </w:t>
      </w:r>
      <w:r w:rsidR="0064721C">
        <w:rPr>
          <w:noProof/>
          <w:kern w:val="16"/>
          <w:lang w:val="en-US"/>
        </w:rPr>
        <w:t>cryodipole with conform beam screens orientation</w:t>
      </w:r>
      <w:r w:rsidR="00D9431A">
        <w:rPr>
          <w:noProof/>
          <w:kern w:val="16"/>
          <w:lang w:val="en-US"/>
        </w:rPr>
        <w:t xml:space="preserve"> to avoid to have more than one cryodipole with wrong beam screens orien</w:t>
      </w:r>
      <w:r w:rsidR="000B740F">
        <w:rPr>
          <w:noProof/>
          <w:kern w:val="16"/>
          <w:lang w:val="en-US"/>
        </w:rPr>
        <w:t>tation per cooling loop. So, 2</w:t>
      </w:r>
      <w:r w:rsidR="00D9431A">
        <w:rPr>
          <w:noProof/>
          <w:kern w:val="16"/>
          <w:lang w:val="en-US"/>
        </w:rPr>
        <w:t xml:space="preserve"> cryodipole</w:t>
      </w:r>
      <w:r w:rsidR="000B740F">
        <w:rPr>
          <w:noProof/>
          <w:kern w:val="16"/>
          <w:lang w:val="en-US"/>
        </w:rPr>
        <w:t>s</w:t>
      </w:r>
      <w:r w:rsidR="00D9431A">
        <w:rPr>
          <w:noProof/>
          <w:kern w:val="16"/>
          <w:lang w:val="en-US"/>
        </w:rPr>
        <w:t xml:space="preserve"> ha</w:t>
      </w:r>
      <w:r w:rsidR="000B740F">
        <w:rPr>
          <w:noProof/>
          <w:kern w:val="16"/>
          <w:lang w:val="en-US"/>
        </w:rPr>
        <w:t>ve</w:t>
      </w:r>
      <w:r w:rsidR="00D9431A">
        <w:rPr>
          <w:noProof/>
          <w:kern w:val="16"/>
          <w:lang w:val="en-US"/>
        </w:rPr>
        <w:t xml:space="preserve"> to </w:t>
      </w:r>
      <w:r w:rsidR="00C57291">
        <w:rPr>
          <w:noProof/>
          <w:kern w:val="16"/>
          <w:lang w:val="en-US"/>
        </w:rPr>
        <w:t xml:space="preserve">be </w:t>
      </w:r>
      <w:r>
        <w:rPr>
          <w:noProof/>
          <w:kern w:val="16"/>
          <w:lang w:val="en-US"/>
        </w:rPr>
        <w:t>replace</w:t>
      </w:r>
      <w:r w:rsidR="00D9431A">
        <w:rPr>
          <w:noProof/>
          <w:kern w:val="16"/>
          <w:lang w:val="en-US"/>
        </w:rPr>
        <w:t xml:space="preserve">d in half cells 26R3 and 32R3. </w:t>
      </w:r>
      <w:r w:rsidR="00D8783B" w:rsidRPr="00D8783B">
        <w:rPr>
          <w:noProof/>
          <w:kern w:val="16"/>
          <w:lang w:val="en-US"/>
        </w:rPr>
        <w:t>The actual type of cryodipole to be exchanged is left free and can be used as an optimisation parameter for the global installation strategy</w:t>
      </w:r>
      <w:r w:rsidR="00D8783B">
        <w:rPr>
          <w:noProof/>
          <w:kern w:val="16"/>
          <w:lang w:val="en-US"/>
        </w:rPr>
        <w:t xml:space="preserve">. </w:t>
      </w:r>
    </w:p>
    <w:p w:rsidR="0064721C" w:rsidRDefault="00C57291" w:rsidP="00AB6B64">
      <w:pPr>
        <w:pStyle w:val="BodyTextIndent"/>
        <w:ind w:firstLine="170"/>
        <w:rPr>
          <w:noProof/>
          <w:kern w:val="16"/>
          <w:lang w:val="en-US"/>
        </w:rPr>
      </w:pPr>
      <w:r>
        <w:rPr>
          <w:noProof/>
          <w:kern w:val="16"/>
          <w:lang w:val="en-US"/>
        </w:rPr>
        <w:t>By replacing the SSS Q23R3 and Q2</w:t>
      </w:r>
      <w:r w:rsidR="000B740F">
        <w:rPr>
          <w:noProof/>
          <w:kern w:val="16"/>
          <w:lang w:val="en-US"/>
        </w:rPr>
        <w:t xml:space="preserve">7R3, the RQS circuits </w:t>
      </w:r>
      <w:r>
        <w:rPr>
          <w:noProof/>
          <w:kern w:val="16"/>
          <w:lang w:val="en-US"/>
        </w:rPr>
        <w:t>will be restored in sector 34. As a second priority but in the baseli</w:t>
      </w:r>
      <w:r w:rsidR="00C20BD4">
        <w:rPr>
          <w:noProof/>
          <w:kern w:val="16"/>
          <w:lang w:val="en-US"/>
        </w:rPr>
        <w:t xml:space="preserve">ne, the SSS Q5L8 housing a non-conform </w:t>
      </w:r>
      <w:r w:rsidR="00090367">
        <w:rPr>
          <w:noProof/>
          <w:kern w:val="16"/>
          <w:lang w:val="en-US"/>
        </w:rPr>
        <w:t xml:space="preserve">corrector </w:t>
      </w:r>
      <w:r w:rsidR="000B740F">
        <w:rPr>
          <w:noProof/>
          <w:kern w:val="16"/>
          <w:lang w:val="en-US"/>
        </w:rPr>
        <w:t xml:space="preserve">circuit </w:t>
      </w:r>
      <w:r w:rsidR="00090367">
        <w:rPr>
          <w:noProof/>
          <w:kern w:val="16"/>
          <w:lang w:val="en-US"/>
        </w:rPr>
        <w:t>(RCBCHS5.L8B1) will be replaced by a SSS with a new corrector. The RO circuit (Q28R3 &amp; Q32R3) will not be restored in LS</w:t>
      </w:r>
      <w:r w:rsidR="00D8783B">
        <w:rPr>
          <w:noProof/>
          <w:kern w:val="16"/>
          <w:lang w:val="en-US"/>
        </w:rPr>
        <w:t>1 but will be studied for LS2 in case of need</w:t>
      </w:r>
      <w:r w:rsidR="00090367">
        <w:rPr>
          <w:noProof/>
          <w:kern w:val="16"/>
          <w:lang w:val="en-US"/>
        </w:rPr>
        <w:t xml:space="preserve">. </w:t>
      </w:r>
    </w:p>
    <w:p w:rsidR="001D0B28" w:rsidRDefault="001D0B28" w:rsidP="00AB6B64">
      <w:pPr>
        <w:pStyle w:val="BodyTextIndent"/>
        <w:ind w:firstLine="170"/>
        <w:rPr>
          <w:noProof/>
          <w:kern w:val="16"/>
          <w:lang w:val="en-US"/>
        </w:rPr>
      </w:pPr>
      <w:r>
        <w:rPr>
          <w:noProof/>
          <w:kern w:val="16"/>
          <w:lang w:val="en-US"/>
        </w:rPr>
        <w:t xml:space="preserve">All known and new leaks will be searched and repaired during LS1. The most critical one on the magnet side is in </w:t>
      </w:r>
      <w:r w:rsidR="00727777">
        <w:rPr>
          <w:noProof/>
          <w:kern w:val="16"/>
          <w:lang w:val="en-US"/>
        </w:rPr>
        <w:t xml:space="preserve">the </w:t>
      </w:r>
      <w:r w:rsidR="00BC39FB">
        <w:rPr>
          <w:noProof/>
          <w:kern w:val="16"/>
          <w:lang w:val="en-US"/>
        </w:rPr>
        <w:t>vac</w:t>
      </w:r>
      <w:r w:rsidR="00727777">
        <w:rPr>
          <w:noProof/>
          <w:kern w:val="16"/>
          <w:lang w:val="en-US"/>
        </w:rPr>
        <w:t>uum sub</w:t>
      </w:r>
      <w:r w:rsidR="00BC39FB">
        <w:rPr>
          <w:noProof/>
          <w:kern w:val="16"/>
          <w:lang w:val="en-US"/>
        </w:rPr>
        <w:t xml:space="preserve">sector </w:t>
      </w:r>
      <w:r w:rsidR="00FB1196">
        <w:rPr>
          <w:noProof/>
          <w:kern w:val="16"/>
          <w:lang w:val="en-US"/>
        </w:rPr>
        <w:t>A</w:t>
      </w:r>
      <w:r w:rsidR="00BC39FB">
        <w:rPr>
          <w:noProof/>
          <w:kern w:val="16"/>
          <w:lang w:val="en-US"/>
        </w:rPr>
        <w:t>27L4 [10]</w:t>
      </w:r>
      <w:r w:rsidR="00727777">
        <w:rPr>
          <w:noProof/>
          <w:kern w:val="16"/>
          <w:lang w:val="en-US"/>
        </w:rPr>
        <w:t>. The experience so far is that all localised leaks could be repaired in-situ. No spare</w:t>
      </w:r>
      <w:r w:rsidR="005970CE">
        <w:rPr>
          <w:noProof/>
          <w:kern w:val="16"/>
          <w:lang w:val="en-US"/>
        </w:rPr>
        <w:t xml:space="preserve"> </w:t>
      </w:r>
      <w:r w:rsidR="000B740F">
        <w:rPr>
          <w:noProof/>
          <w:kern w:val="16"/>
          <w:lang w:val="en-US"/>
        </w:rPr>
        <w:t>magnet is prepared</w:t>
      </w:r>
      <w:r w:rsidR="00727777">
        <w:rPr>
          <w:noProof/>
          <w:kern w:val="16"/>
          <w:lang w:val="en-US"/>
        </w:rPr>
        <w:t xml:space="preserve"> </w:t>
      </w:r>
      <w:r w:rsidR="00C20BD4">
        <w:rPr>
          <w:noProof/>
          <w:kern w:val="16"/>
          <w:lang w:val="en-US"/>
        </w:rPr>
        <w:t xml:space="preserve">since </w:t>
      </w:r>
      <w:r w:rsidR="000B740F">
        <w:rPr>
          <w:noProof/>
          <w:kern w:val="16"/>
          <w:lang w:val="en-US"/>
        </w:rPr>
        <w:t>its exact location, hence its</w:t>
      </w:r>
      <w:r w:rsidR="00727777">
        <w:rPr>
          <w:noProof/>
          <w:kern w:val="16"/>
          <w:lang w:val="en-US"/>
        </w:rPr>
        <w:t xml:space="preserve"> type are not known. </w:t>
      </w:r>
      <w:r w:rsidR="000B740F">
        <w:rPr>
          <w:noProof/>
          <w:kern w:val="16"/>
          <w:lang w:val="en-US"/>
        </w:rPr>
        <w:t>If necessary, it could be ready in a few weeks</w:t>
      </w:r>
      <w:r w:rsidR="008527AA">
        <w:rPr>
          <w:noProof/>
          <w:kern w:val="16"/>
          <w:lang w:val="en-US"/>
        </w:rPr>
        <w:t xml:space="preserve"> in most of the case</w:t>
      </w:r>
      <w:r w:rsidR="005970CE">
        <w:rPr>
          <w:noProof/>
          <w:kern w:val="16"/>
          <w:lang w:val="en-US"/>
        </w:rPr>
        <w:t>s</w:t>
      </w:r>
      <w:r w:rsidR="008527AA">
        <w:rPr>
          <w:noProof/>
          <w:kern w:val="16"/>
          <w:lang w:val="en-US"/>
        </w:rPr>
        <w:t>. If it is a complex SSS, this could take several months</w:t>
      </w:r>
      <w:r w:rsidR="000B740F">
        <w:rPr>
          <w:noProof/>
          <w:kern w:val="16"/>
          <w:lang w:val="en-US"/>
        </w:rPr>
        <w:t xml:space="preserve">. </w:t>
      </w:r>
    </w:p>
    <w:p w:rsidR="0064721C" w:rsidRDefault="00727777" w:rsidP="00AB6B64">
      <w:pPr>
        <w:pStyle w:val="BodyTextIndent"/>
        <w:ind w:firstLine="170"/>
        <w:rPr>
          <w:noProof/>
          <w:kern w:val="16"/>
          <w:lang w:val="en-US"/>
        </w:rPr>
      </w:pPr>
      <w:r>
        <w:rPr>
          <w:noProof/>
          <w:kern w:val="16"/>
          <w:lang w:val="en-US"/>
        </w:rPr>
        <w:t xml:space="preserve">The undulators are having non-conformities but are working satisfactorily. A spare cold mass is available, </w:t>
      </w:r>
      <w:r w:rsidR="000B740F">
        <w:rPr>
          <w:noProof/>
          <w:kern w:val="16"/>
          <w:lang w:val="en-US"/>
        </w:rPr>
        <w:t xml:space="preserve">it </w:t>
      </w:r>
      <w:r>
        <w:rPr>
          <w:noProof/>
          <w:kern w:val="16"/>
          <w:lang w:val="en-US"/>
        </w:rPr>
        <w:t>will be cryo</w:t>
      </w:r>
      <w:r w:rsidR="00C20BD4">
        <w:rPr>
          <w:noProof/>
          <w:kern w:val="16"/>
          <w:lang w:val="en-US"/>
        </w:rPr>
        <w:t>s</w:t>
      </w:r>
      <w:r>
        <w:rPr>
          <w:noProof/>
          <w:kern w:val="16"/>
          <w:lang w:val="en-US"/>
        </w:rPr>
        <w:t>tated and cold tested in 2012.</w:t>
      </w:r>
      <w:r w:rsidR="000B740F">
        <w:rPr>
          <w:noProof/>
          <w:kern w:val="16"/>
          <w:lang w:val="en-US"/>
        </w:rPr>
        <w:t xml:space="preserve"> After testing and assessment of</w:t>
      </w:r>
      <w:r>
        <w:rPr>
          <w:noProof/>
          <w:kern w:val="16"/>
          <w:lang w:val="en-US"/>
        </w:rPr>
        <w:t xml:space="preserve"> </w:t>
      </w:r>
      <w:r w:rsidR="000B740F">
        <w:rPr>
          <w:noProof/>
          <w:kern w:val="16"/>
          <w:lang w:val="en-US"/>
        </w:rPr>
        <w:t xml:space="preserve">its impact on </w:t>
      </w:r>
      <w:r>
        <w:rPr>
          <w:noProof/>
          <w:kern w:val="16"/>
          <w:lang w:val="en-US"/>
        </w:rPr>
        <w:t>operation</w:t>
      </w:r>
      <w:r w:rsidR="000B740F">
        <w:rPr>
          <w:noProof/>
          <w:kern w:val="16"/>
          <w:lang w:val="en-US"/>
        </w:rPr>
        <w:t>,</w:t>
      </w:r>
      <w:r w:rsidR="00C20BD4">
        <w:rPr>
          <w:noProof/>
          <w:kern w:val="16"/>
          <w:lang w:val="en-US"/>
        </w:rPr>
        <w:t xml:space="preserve"> a</w:t>
      </w:r>
      <w:r>
        <w:rPr>
          <w:noProof/>
          <w:kern w:val="16"/>
          <w:lang w:val="en-US"/>
        </w:rPr>
        <w:t xml:space="preserve"> decision on the need for replacement can be made. </w:t>
      </w:r>
    </w:p>
    <w:p w:rsidR="00185AF2" w:rsidRDefault="00185AF2" w:rsidP="00AB6B64">
      <w:pPr>
        <w:pStyle w:val="BodyTextIndent"/>
        <w:keepNext/>
        <w:ind w:firstLine="0"/>
        <w:jc w:val="center"/>
        <w:rPr>
          <w:kern w:val="16"/>
        </w:rPr>
      </w:pPr>
      <w:r>
        <w:rPr>
          <w:kern w:val="16"/>
        </w:rPr>
        <w:t xml:space="preserve">Table 1: </w:t>
      </w:r>
      <w:r w:rsidR="00C20BD4">
        <w:rPr>
          <w:kern w:val="16"/>
        </w:rPr>
        <w:t>M</w:t>
      </w:r>
      <w:r>
        <w:rPr>
          <w:kern w:val="16"/>
        </w:rPr>
        <w:t xml:space="preserve">agnets </w:t>
      </w:r>
      <w:r w:rsidR="00C20BD4">
        <w:rPr>
          <w:kern w:val="16"/>
        </w:rPr>
        <w:t>to be replaced</w:t>
      </w:r>
    </w:p>
    <w:tbl>
      <w:tblPr>
        <w:tblStyle w:val="TableGrid"/>
        <w:tblW w:w="0" w:type="auto"/>
        <w:tblInd w:w="108" w:type="dxa"/>
        <w:tblLook w:val="04A0"/>
      </w:tblPr>
      <w:tblGrid>
        <w:gridCol w:w="2694"/>
        <w:gridCol w:w="567"/>
        <w:gridCol w:w="567"/>
        <w:gridCol w:w="955"/>
      </w:tblGrid>
      <w:tr w:rsidR="00185AF2" w:rsidTr="00185AF2">
        <w:tc>
          <w:tcPr>
            <w:tcW w:w="2694" w:type="dxa"/>
          </w:tcPr>
          <w:p w:rsidR="00185AF2" w:rsidRPr="00371525" w:rsidRDefault="00185AF2" w:rsidP="00AB6B64">
            <w:pPr>
              <w:pStyle w:val="BodyTextIndent"/>
              <w:keepNext/>
              <w:ind w:firstLine="0"/>
              <w:jc w:val="center"/>
              <w:rPr>
                <w:b/>
                <w:kern w:val="16"/>
                <w:u w:val="single"/>
              </w:rPr>
            </w:pPr>
            <w:r w:rsidRPr="00371525">
              <w:rPr>
                <w:b/>
                <w:kern w:val="16"/>
                <w:u w:val="single"/>
              </w:rPr>
              <w:t>Reason</w:t>
            </w:r>
          </w:p>
        </w:tc>
        <w:tc>
          <w:tcPr>
            <w:tcW w:w="567" w:type="dxa"/>
          </w:tcPr>
          <w:p w:rsidR="00185AF2" w:rsidRPr="00371525" w:rsidRDefault="00185AF2" w:rsidP="00AB6B64">
            <w:pPr>
              <w:pStyle w:val="BodyTextIndent"/>
              <w:keepNext/>
              <w:ind w:firstLine="0"/>
              <w:jc w:val="center"/>
              <w:rPr>
                <w:b/>
                <w:kern w:val="16"/>
                <w:u w:val="single"/>
              </w:rPr>
            </w:pPr>
            <w:r w:rsidRPr="00371525">
              <w:rPr>
                <w:b/>
                <w:kern w:val="16"/>
                <w:u w:val="single"/>
              </w:rPr>
              <w:t>Dip</w:t>
            </w:r>
          </w:p>
        </w:tc>
        <w:tc>
          <w:tcPr>
            <w:tcW w:w="567" w:type="dxa"/>
          </w:tcPr>
          <w:p w:rsidR="00185AF2" w:rsidRPr="00371525" w:rsidRDefault="00185AF2" w:rsidP="00AB6B64">
            <w:pPr>
              <w:pStyle w:val="BodyTextIndent"/>
              <w:keepNext/>
              <w:ind w:firstLine="0"/>
              <w:jc w:val="center"/>
              <w:rPr>
                <w:b/>
                <w:kern w:val="16"/>
                <w:u w:val="single"/>
              </w:rPr>
            </w:pPr>
            <w:r w:rsidRPr="00371525">
              <w:rPr>
                <w:b/>
                <w:kern w:val="16"/>
                <w:u w:val="single"/>
              </w:rPr>
              <w:t>SSS</w:t>
            </w:r>
          </w:p>
        </w:tc>
        <w:tc>
          <w:tcPr>
            <w:tcW w:w="955" w:type="dxa"/>
          </w:tcPr>
          <w:p w:rsidR="00185AF2" w:rsidRPr="00371525" w:rsidRDefault="00185AF2" w:rsidP="00AB6B64">
            <w:pPr>
              <w:pStyle w:val="BodyTextIndent"/>
              <w:keepNext/>
              <w:ind w:firstLine="0"/>
              <w:jc w:val="center"/>
              <w:rPr>
                <w:b/>
                <w:kern w:val="16"/>
                <w:u w:val="single"/>
              </w:rPr>
            </w:pPr>
            <w:r w:rsidRPr="00371525">
              <w:rPr>
                <w:b/>
                <w:kern w:val="16"/>
                <w:u w:val="single"/>
              </w:rPr>
              <w:t>Tot</w:t>
            </w:r>
            <w:r>
              <w:rPr>
                <w:b/>
                <w:kern w:val="16"/>
                <w:u w:val="single"/>
              </w:rPr>
              <w:t>al</w:t>
            </w:r>
          </w:p>
        </w:tc>
      </w:tr>
      <w:tr w:rsidR="00185AF2" w:rsidTr="00185AF2">
        <w:tc>
          <w:tcPr>
            <w:tcW w:w="2694" w:type="dxa"/>
          </w:tcPr>
          <w:p w:rsidR="00185AF2" w:rsidRDefault="00185AF2" w:rsidP="00AB6B64">
            <w:pPr>
              <w:pStyle w:val="BodyTextIndent"/>
              <w:keepNext/>
              <w:ind w:firstLine="0"/>
              <w:rPr>
                <w:kern w:val="16"/>
              </w:rPr>
            </w:pPr>
            <w:r>
              <w:rPr>
                <w:kern w:val="16"/>
              </w:rPr>
              <w:t>High inner splice resistance</w:t>
            </w:r>
          </w:p>
        </w:tc>
        <w:tc>
          <w:tcPr>
            <w:tcW w:w="567" w:type="dxa"/>
          </w:tcPr>
          <w:p w:rsidR="00185AF2" w:rsidRDefault="00185AF2" w:rsidP="00AB6B64">
            <w:pPr>
              <w:pStyle w:val="BodyTextIndent"/>
              <w:keepNext/>
              <w:ind w:firstLine="0"/>
              <w:jc w:val="center"/>
              <w:rPr>
                <w:kern w:val="16"/>
              </w:rPr>
            </w:pPr>
            <w:r>
              <w:rPr>
                <w:kern w:val="16"/>
              </w:rPr>
              <w:t>8</w:t>
            </w:r>
          </w:p>
        </w:tc>
        <w:tc>
          <w:tcPr>
            <w:tcW w:w="567" w:type="dxa"/>
          </w:tcPr>
          <w:p w:rsidR="00185AF2" w:rsidRDefault="00185AF2" w:rsidP="00AB6B64">
            <w:pPr>
              <w:pStyle w:val="BodyTextIndent"/>
              <w:keepNext/>
              <w:ind w:firstLine="0"/>
              <w:jc w:val="center"/>
              <w:rPr>
                <w:kern w:val="16"/>
              </w:rPr>
            </w:pPr>
            <w:r>
              <w:rPr>
                <w:kern w:val="16"/>
              </w:rPr>
              <w:t>1</w:t>
            </w:r>
          </w:p>
        </w:tc>
        <w:tc>
          <w:tcPr>
            <w:tcW w:w="955" w:type="dxa"/>
          </w:tcPr>
          <w:p w:rsidR="00185AF2" w:rsidRDefault="00185AF2" w:rsidP="00AB6B64">
            <w:pPr>
              <w:pStyle w:val="BodyTextIndent"/>
              <w:keepNext/>
              <w:ind w:firstLine="0"/>
              <w:jc w:val="center"/>
              <w:rPr>
                <w:kern w:val="16"/>
              </w:rPr>
            </w:pPr>
            <w:r>
              <w:rPr>
                <w:kern w:val="16"/>
              </w:rPr>
              <w:t>9</w:t>
            </w:r>
          </w:p>
        </w:tc>
      </w:tr>
      <w:tr w:rsidR="00185AF2" w:rsidTr="00185AF2">
        <w:tc>
          <w:tcPr>
            <w:tcW w:w="2694" w:type="dxa"/>
          </w:tcPr>
          <w:p w:rsidR="00185AF2" w:rsidRDefault="00185AF2" w:rsidP="00AB6B64">
            <w:pPr>
              <w:pStyle w:val="BodyTextIndent"/>
              <w:keepNext/>
              <w:ind w:firstLine="0"/>
              <w:rPr>
                <w:kern w:val="16"/>
              </w:rPr>
            </w:pPr>
            <w:r>
              <w:rPr>
                <w:kern w:val="16"/>
              </w:rPr>
              <w:t>Electrical integrity</w:t>
            </w:r>
          </w:p>
        </w:tc>
        <w:tc>
          <w:tcPr>
            <w:tcW w:w="567" w:type="dxa"/>
          </w:tcPr>
          <w:p w:rsidR="00185AF2" w:rsidRDefault="00185AF2" w:rsidP="00AB6B64">
            <w:pPr>
              <w:pStyle w:val="BodyTextIndent"/>
              <w:keepNext/>
              <w:ind w:firstLine="0"/>
              <w:jc w:val="center"/>
              <w:rPr>
                <w:kern w:val="16"/>
              </w:rPr>
            </w:pPr>
            <w:r>
              <w:rPr>
                <w:kern w:val="16"/>
              </w:rPr>
              <w:t>5</w:t>
            </w:r>
          </w:p>
        </w:tc>
        <w:tc>
          <w:tcPr>
            <w:tcW w:w="567" w:type="dxa"/>
          </w:tcPr>
          <w:p w:rsidR="00185AF2" w:rsidRDefault="00185AF2" w:rsidP="00AB6B64">
            <w:pPr>
              <w:pStyle w:val="BodyTextIndent"/>
              <w:keepNext/>
              <w:ind w:firstLine="0"/>
              <w:jc w:val="center"/>
              <w:rPr>
                <w:kern w:val="16"/>
              </w:rPr>
            </w:pPr>
            <w:r>
              <w:rPr>
                <w:kern w:val="16"/>
              </w:rPr>
              <w:t>0</w:t>
            </w:r>
          </w:p>
        </w:tc>
        <w:tc>
          <w:tcPr>
            <w:tcW w:w="955" w:type="dxa"/>
          </w:tcPr>
          <w:p w:rsidR="00185AF2" w:rsidRDefault="00185AF2" w:rsidP="00AB6B64">
            <w:pPr>
              <w:pStyle w:val="BodyTextIndent"/>
              <w:keepNext/>
              <w:ind w:firstLine="0"/>
              <w:jc w:val="center"/>
              <w:rPr>
                <w:kern w:val="16"/>
              </w:rPr>
            </w:pPr>
            <w:r>
              <w:rPr>
                <w:kern w:val="16"/>
              </w:rPr>
              <w:t>5</w:t>
            </w:r>
          </w:p>
        </w:tc>
      </w:tr>
      <w:tr w:rsidR="001D0B28" w:rsidTr="00185AF2">
        <w:tc>
          <w:tcPr>
            <w:tcW w:w="2694" w:type="dxa"/>
          </w:tcPr>
          <w:p w:rsidR="001D0B28" w:rsidRDefault="001D0B28" w:rsidP="001D0B28">
            <w:pPr>
              <w:pStyle w:val="BodyTextIndent"/>
              <w:keepNext/>
              <w:ind w:firstLine="0"/>
              <w:rPr>
                <w:kern w:val="16"/>
              </w:rPr>
            </w:pPr>
            <w:r>
              <w:rPr>
                <w:kern w:val="16"/>
              </w:rPr>
              <w:t>Reversed beam screens</w:t>
            </w:r>
          </w:p>
        </w:tc>
        <w:tc>
          <w:tcPr>
            <w:tcW w:w="567" w:type="dxa"/>
          </w:tcPr>
          <w:p w:rsidR="001D0B28" w:rsidRDefault="001D0B28" w:rsidP="001D0B28">
            <w:pPr>
              <w:pStyle w:val="BodyTextIndent"/>
              <w:keepNext/>
              <w:ind w:firstLine="0"/>
              <w:jc w:val="center"/>
              <w:rPr>
                <w:kern w:val="16"/>
              </w:rPr>
            </w:pPr>
            <w:r>
              <w:rPr>
                <w:kern w:val="16"/>
              </w:rPr>
              <w:t>2</w:t>
            </w:r>
          </w:p>
        </w:tc>
        <w:tc>
          <w:tcPr>
            <w:tcW w:w="567" w:type="dxa"/>
          </w:tcPr>
          <w:p w:rsidR="001D0B28" w:rsidRDefault="001D0B28" w:rsidP="001D0B28">
            <w:pPr>
              <w:pStyle w:val="BodyTextIndent"/>
              <w:keepNext/>
              <w:ind w:firstLine="0"/>
              <w:jc w:val="center"/>
              <w:rPr>
                <w:kern w:val="16"/>
              </w:rPr>
            </w:pPr>
            <w:r>
              <w:rPr>
                <w:kern w:val="16"/>
              </w:rPr>
              <w:t>0</w:t>
            </w:r>
          </w:p>
        </w:tc>
        <w:tc>
          <w:tcPr>
            <w:tcW w:w="955" w:type="dxa"/>
          </w:tcPr>
          <w:p w:rsidR="001D0B28" w:rsidRDefault="001D0B28" w:rsidP="001D0B28">
            <w:pPr>
              <w:pStyle w:val="BodyTextIndent"/>
              <w:keepNext/>
              <w:ind w:firstLine="0"/>
              <w:jc w:val="center"/>
              <w:rPr>
                <w:kern w:val="16"/>
              </w:rPr>
            </w:pPr>
            <w:r>
              <w:rPr>
                <w:kern w:val="16"/>
              </w:rPr>
              <w:t>0</w:t>
            </w:r>
          </w:p>
        </w:tc>
      </w:tr>
      <w:tr w:rsidR="001D0B28" w:rsidTr="00185AF2">
        <w:tc>
          <w:tcPr>
            <w:tcW w:w="2694" w:type="dxa"/>
          </w:tcPr>
          <w:p w:rsidR="001D0B28" w:rsidRDefault="001D0B28" w:rsidP="000B740F">
            <w:pPr>
              <w:pStyle w:val="BodyTextIndent"/>
              <w:keepNext/>
              <w:ind w:firstLine="0"/>
              <w:jc w:val="left"/>
              <w:rPr>
                <w:kern w:val="16"/>
              </w:rPr>
            </w:pPr>
            <w:r>
              <w:rPr>
                <w:kern w:val="16"/>
              </w:rPr>
              <w:t>Beam optics (Q23</w:t>
            </w:r>
            <w:r w:rsidR="000B740F">
              <w:rPr>
                <w:kern w:val="16"/>
              </w:rPr>
              <w:t>R3 &amp; Q</w:t>
            </w:r>
            <w:r>
              <w:rPr>
                <w:kern w:val="16"/>
              </w:rPr>
              <w:t>27R3</w:t>
            </w:r>
            <w:r w:rsidR="000B740F">
              <w:rPr>
                <w:kern w:val="16"/>
              </w:rPr>
              <w:t>, Q5L8</w:t>
            </w:r>
            <w:r>
              <w:rPr>
                <w:kern w:val="16"/>
              </w:rPr>
              <w:t>)</w:t>
            </w:r>
          </w:p>
        </w:tc>
        <w:tc>
          <w:tcPr>
            <w:tcW w:w="567" w:type="dxa"/>
          </w:tcPr>
          <w:p w:rsidR="001D0B28" w:rsidRDefault="001D0B28" w:rsidP="00AB6B64">
            <w:pPr>
              <w:pStyle w:val="BodyTextIndent"/>
              <w:keepNext/>
              <w:ind w:firstLine="0"/>
              <w:jc w:val="center"/>
              <w:rPr>
                <w:kern w:val="16"/>
              </w:rPr>
            </w:pPr>
            <w:r>
              <w:rPr>
                <w:kern w:val="16"/>
              </w:rPr>
              <w:t>0</w:t>
            </w:r>
          </w:p>
        </w:tc>
        <w:tc>
          <w:tcPr>
            <w:tcW w:w="567" w:type="dxa"/>
          </w:tcPr>
          <w:p w:rsidR="001D0B28" w:rsidRDefault="001D0B28" w:rsidP="00AB6B64">
            <w:pPr>
              <w:pStyle w:val="BodyTextIndent"/>
              <w:keepNext/>
              <w:ind w:firstLine="0"/>
              <w:jc w:val="center"/>
              <w:rPr>
                <w:kern w:val="16"/>
              </w:rPr>
            </w:pPr>
            <w:r>
              <w:rPr>
                <w:kern w:val="16"/>
              </w:rPr>
              <w:t>3</w:t>
            </w:r>
          </w:p>
        </w:tc>
        <w:tc>
          <w:tcPr>
            <w:tcW w:w="955" w:type="dxa"/>
          </w:tcPr>
          <w:p w:rsidR="001D0B28" w:rsidRDefault="001D0B28" w:rsidP="00AB6B64">
            <w:pPr>
              <w:pStyle w:val="BodyTextIndent"/>
              <w:keepNext/>
              <w:ind w:firstLine="0"/>
              <w:jc w:val="center"/>
              <w:rPr>
                <w:kern w:val="16"/>
              </w:rPr>
            </w:pPr>
            <w:r>
              <w:rPr>
                <w:kern w:val="16"/>
              </w:rPr>
              <w:t>3</w:t>
            </w:r>
          </w:p>
        </w:tc>
      </w:tr>
      <w:tr w:rsidR="001D0B28" w:rsidTr="00185AF2">
        <w:tc>
          <w:tcPr>
            <w:tcW w:w="2694" w:type="dxa"/>
          </w:tcPr>
          <w:p w:rsidR="001D0B28" w:rsidRDefault="001D0B28" w:rsidP="00AB6B64">
            <w:pPr>
              <w:pStyle w:val="BodyTextIndent"/>
              <w:keepNext/>
              <w:ind w:firstLine="0"/>
              <w:rPr>
                <w:kern w:val="16"/>
              </w:rPr>
            </w:pPr>
            <w:r>
              <w:rPr>
                <w:kern w:val="16"/>
              </w:rPr>
              <w:t>Leaks(*)</w:t>
            </w:r>
          </w:p>
        </w:tc>
        <w:tc>
          <w:tcPr>
            <w:tcW w:w="567" w:type="dxa"/>
          </w:tcPr>
          <w:p w:rsidR="001D0B28" w:rsidRDefault="001D0B28" w:rsidP="00AB6B64">
            <w:pPr>
              <w:pStyle w:val="BodyTextIndent"/>
              <w:keepNext/>
              <w:ind w:firstLine="0"/>
              <w:jc w:val="center"/>
              <w:rPr>
                <w:kern w:val="16"/>
              </w:rPr>
            </w:pPr>
            <w:r>
              <w:rPr>
                <w:kern w:val="16"/>
              </w:rPr>
              <w:t>0</w:t>
            </w:r>
          </w:p>
        </w:tc>
        <w:tc>
          <w:tcPr>
            <w:tcW w:w="567" w:type="dxa"/>
          </w:tcPr>
          <w:p w:rsidR="001D0B28" w:rsidRDefault="001D0B28" w:rsidP="00AB6B64">
            <w:pPr>
              <w:pStyle w:val="BodyTextIndent"/>
              <w:keepNext/>
              <w:ind w:firstLine="0"/>
              <w:jc w:val="center"/>
              <w:rPr>
                <w:kern w:val="16"/>
              </w:rPr>
            </w:pPr>
            <w:r>
              <w:rPr>
                <w:kern w:val="16"/>
              </w:rPr>
              <w:t>0</w:t>
            </w:r>
          </w:p>
        </w:tc>
        <w:tc>
          <w:tcPr>
            <w:tcW w:w="955" w:type="dxa"/>
          </w:tcPr>
          <w:p w:rsidR="001D0B28" w:rsidRDefault="001D0B28" w:rsidP="00AB6B64">
            <w:pPr>
              <w:pStyle w:val="BodyTextIndent"/>
              <w:keepNext/>
              <w:ind w:firstLine="0"/>
              <w:jc w:val="center"/>
              <w:rPr>
                <w:kern w:val="16"/>
              </w:rPr>
            </w:pPr>
            <w:r>
              <w:rPr>
                <w:kern w:val="16"/>
              </w:rPr>
              <w:t>0</w:t>
            </w:r>
          </w:p>
        </w:tc>
      </w:tr>
      <w:tr w:rsidR="00727777" w:rsidTr="00185AF2">
        <w:tc>
          <w:tcPr>
            <w:tcW w:w="2694" w:type="dxa"/>
          </w:tcPr>
          <w:p w:rsidR="00727777" w:rsidRDefault="00727777" w:rsidP="00AB6B64">
            <w:pPr>
              <w:pStyle w:val="BodyTextIndent"/>
              <w:keepNext/>
              <w:ind w:firstLine="0"/>
              <w:rPr>
                <w:kern w:val="16"/>
              </w:rPr>
            </w:pPr>
            <w:proofErr w:type="spellStart"/>
            <w:r>
              <w:rPr>
                <w:kern w:val="16"/>
              </w:rPr>
              <w:t>Undulator</w:t>
            </w:r>
            <w:proofErr w:type="spellEnd"/>
            <w:r>
              <w:rPr>
                <w:kern w:val="16"/>
              </w:rPr>
              <w:t>(**)</w:t>
            </w:r>
          </w:p>
        </w:tc>
        <w:tc>
          <w:tcPr>
            <w:tcW w:w="567" w:type="dxa"/>
          </w:tcPr>
          <w:p w:rsidR="00727777" w:rsidRDefault="00727777" w:rsidP="00AB6B64">
            <w:pPr>
              <w:pStyle w:val="BodyTextIndent"/>
              <w:keepNext/>
              <w:ind w:firstLine="0"/>
              <w:jc w:val="center"/>
              <w:rPr>
                <w:kern w:val="16"/>
              </w:rPr>
            </w:pPr>
            <w:r>
              <w:rPr>
                <w:kern w:val="16"/>
              </w:rPr>
              <w:t>0</w:t>
            </w:r>
          </w:p>
        </w:tc>
        <w:tc>
          <w:tcPr>
            <w:tcW w:w="567" w:type="dxa"/>
          </w:tcPr>
          <w:p w:rsidR="00727777" w:rsidRDefault="00727777" w:rsidP="00AB6B64">
            <w:pPr>
              <w:pStyle w:val="BodyTextIndent"/>
              <w:keepNext/>
              <w:ind w:firstLine="0"/>
              <w:jc w:val="center"/>
              <w:rPr>
                <w:kern w:val="16"/>
              </w:rPr>
            </w:pPr>
            <w:r>
              <w:rPr>
                <w:kern w:val="16"/>
              </w:rPr>
              <w:t>0</w:t>
            </w:r>
          </w:p>
        </w:tc>
        <w:tc>
          <w:tcPr>
            <w:tcW w:w="955" w:type="dxa"/>
          </w:tcPr>
          <w:p w:rsidR="00727777" w:rsidRDefault="00727777" w:rsidP="00AB6B64">
            <w:pPr>
              <w:pStyle w:val="BodyTextIndent"/>
              <w:keepNext/>
              <w:ind w:firstLine="0"/>
              <w:jc w:val="center"/>
              <w:rPr>
                <w:kern w:val="16"/>
              </w:rPr>
            </w:pPr>
            <w:r>
              <w:rPr>
                <w:kern w:val="16"/>
              </w:rPr>
              <w:t>0</w:t>
            </w:r>
          </w:p>
        </w:tc>
      </w:tr>
      <w:tr w:rsidR="001D0B28" w:rsidTr="00185AF2">
        <w:tc>
          <w:tcPr>
            <w:tcW w:w="2694" w:type="dxa"/>
          </w:tcPr>
          <w:p w:rsidR="001D0B28" w:rsidRDefault="001D0B28" w:rsidP="00AB6B64">
            <w:pPr>
              <w:pStyle w:val="BodyTextIndent"/>
              <w:keepNext/>
              <w:ind w:firstLine="0"/>
              <w:jc w:val="right"/>
              <w:rPr>
                <w:kern w:val="16"/>
              </w:rPr>
            </w:pPr>
            <w:r>
              <w:rPr>
                <w:kern w:val="16"/>
              </w:rPr>
              <w:t>TOTAL</w:t>
            </w:r>
          </w:p>
        </w:tc>
        <w:tc>
          <w:tcPr>
            <w:tcW w:w="567" w:type="dxa"/>
          </w:tcPr>
          <w:p w:rsidR="001D0B28" w:rsidRDefault="001D0B28" w:rsidP="00AB6B64">
            <w:pPr>
              <w:pStyle w:val="BodyTextIndent"/>
              <w:keepNext/>
              <w:ind w:firstLine="0"/>
              <w:jc w:val="center"/>
              <w:rPr>
                <w:kern w:val="16"/>
              </w:rPr>
            </w:pPr>
            <w:r>
              <w:rPr>
                <w:kern w:val="16"/>
              </w:rPr>
              <w:t>15</w:t>
            </w:r>
          </w:p>
        </w:tc>
        <w:tc>
          <w:tcPr>
            <w:tcW w:w="567" w:type="dxa"/>
          </w:tcPr>
          <w:p w:rsidR="001D0B28" w:rsidRDefault="001D0B28" w:rsidP="00AB6B64">
            <w:pPr>
              <w:pStyle w:val="BodyTextIndent"/>
              <w:keepNext/>
              <w:ind w:firstLine="0"/>
              <w:jc w:val="center"/>
              <w:rPr>
                <w:kern w:val="16"/>
              </w:rPr>
            </w:pPr>
            <w:r>
              <w:rPr>
                <w:kern w:val="16"/>
              </w:rPr>
              <w:t>4</w:t>
            </w:r>
          </w:p>
        </w:tc>
        <w:tc>
          <w:tcPr>
            <w:tcW w:w="955" w:type="dxa"/>
          </w:tcPr>
          <w:p w:rsidR="001D0B28" w:rsidRDefault="001D0B28" w:rsidP="00AB6B64">
            <w:pPr>
              <w:pStyle w:val="BodyTextIndent"/>
              <w:keepNext/>
              <w:ind w:firstLine="0"/>
              <w:jc w:val="center"/>
              <w:rPr>
                <w:kern w:val="16"/>
              </w:rPr>
            </w:pPr>
            <w:r>
              <w:rPr>
                <w:kern w:val="16"/>
              </w:rPr>
              <w:t>19</w:t>
            </w:r>
          </w:p>
        </w:tc>
      </w:tr>
    </w:tbl>
    <w:p w:rsidR="00185AF2" w:rsidRPr="005970CE" w:rsidRDefault="00185AF2" w:rsidP="00AB6B64">
      <w:pPr>
        <w:pStyle w:val="BodyTextIndent"/>
        <w:keepNext/>
        <w:ind w:firstLine="0"/>
        <w:rPr>
          <w:kern w:val="16"/>
          <w:sz w:val="18"/>
          <w:szCs w:val="18"/>
        </w:rPr>
      </w:pPr>
      <w:r w:rsidRPr="005970CE">
        <w:rPr>
          <w:kern w:val="16"/>
          <w:sz w:val="18"/>
          <w:szCs w:val="18"/>
        </w:rPr>
        <w:t xml:space="preserve">(*) Only one critical leak in sector 34 may not be accepted so could require the </w:t>
      </w:r>
      <w:r w:rsidR="005970CE" w:rsidRPr="005970CE">
        <w:rPr>
          <w:kern w:val="16"/>
          <w:sz w:val="18"/>
          <w:szCs w:val="18"/>
        </w:rPr>
        <w:t>replacement</w:t>
      </w:r>
      <w:r w:rsidRPr="005970CE">
        <w:rPr>
          <w:kern w:val="16"/>
          <w:sz w:val="18"/>
          <w:szCs w:val="18"/>
        </w:rPr>
        <w:t xml:space="preserve"> of a magnet if it cannot be repaired in-situ. Based on the experience so far, it i</w:t>
      </w:r>
      <w:r w:rsidR="00727777" w:rsidRPr="005970CE">
        <w:rPr>
          <w:kern w:val="16"/>
          <w:sz w:val="18"/>
          <w:szCs w:val="18"/>
        </w:rPr>
        <w:t xml:space="preserve">s not </w:t>
      </w:r>
      <w:r w:rsidR="000B740F" w:rsidRPr="005970CE">
        <w:rPr>
          <w:kern w:val="16"/>
          <w:sz w:val="18"/>
          <w:szCs w:val="18"/>
        </w:rPr>
        <w:t>likely</w:t>
      </w:r>
      <w:r w:rsidR="00727777" w:rsidRPr="005970CE">
        <w:rPr>
          <w:kern w:val="16"/>
          <w:sz w:val="18"/>
          <w:szCs w:val="18"/>
        </w:rPr>
        <w:t>.</w:t>
      </w:r>
    </w:p>
    <w:p w:rsidR="00727777" w:rsidRPr="005970CE" w:rsidRDefault="00727777" w:rsidP="00AB6B64">
      <w:pPr>
        <w:pStyle w:val="BodyTextIndent"/>
        <w:keepNext/>
        <w:ind w:firstLine="0"/>
        <w:rPr>
          <w:noProof/>
          <w:kern w:val="16"/>
          <w:sz w:val="18"/>
          <w:szCs w:val="18"/>
          <w:lang w:val="en-US"/>
        </w:rPr>
      </w:pPr>
      <w:r w:rsidRPr="005970CE">
        <w:rPr>
          <w:kern w:val="16"/>
          <w:sz w:val="18"/>
          <w:szCs w:val="18"/>
        </w:rPr>
        <w:t xml:space="preserve">(**) Not planned but to be decided in 2012. </w:t>
      </w:r>
    </w:p>
    <w:p w:rsidR="00727777" w:rsidRDefault="00727777" w:rsidP="00727777">
      <w:pPr>
        <w:pStyle w:val="BodyTextIndent"/>
        <w:ind w:firstLine="142"/>
        <w:rPr>
          <w:noProof/>
          <w:kern w:val="16"/>
          <w:lang w:val="en-US"/>
        </w:rPr>
      </w:pPr>
      <w:r>
        <w:rPr>
          <w:noProof/>
          <w:kern w:val="16"/>
          <w:lang w:val="en-US"/>
        </w:rPr>
        <w:t xml:space="preserve">The plan is to have these 19 cryomagnets ready to be lowered </w:t>
      </w:r>
      <w:r w:rsidR="00B42C46">
        <w:rPr>
          <w:noProof/>
          <w:kern w:val="16"/>
          <w:lang w:val="en-US"/>
        </w:rPr>
        <w:t>before the start of LS1. There are already sufficient number of dipoles, the assignment process by the MEB is running and the planning for work in SMI2 is defined</w:t>
      </w:r>
      <w:r w:rsidR="00DA3E7A">
        <w:rPr>
          <w:noProof/>
          <w:kern w:val="16"/>
          <w:lang w:val="en-US"/>
        </w:rPr>
        <w:t>. Up to date info is available at [11]</w:t>
      </w:r>
    </w:p>
    <w:p w:rsidR="003075B4" w:rsidRPr="00EA653A" w:rsidRDefault="003075B4" w:rsidP="003075B4">
      <w:pPr>
        <w:pStyle w:val="Heading3"/>
        <w:rPr>
          <w:rFonts w:cs="Times New Roman"/>
          <w:kern w:val="16"/>
        </w:rPr>
      </w:pPr>
      <w:r>
        <w:rPr>
          <w:rFonts w:cs="Times New Roman"/>
          <w:kern w:val="16"/>
        </w:rPr>
        <w:t>Consolidation of Connection Cryostats (CC)</w:t>
      </w:r>
    </w:p>
    <w:p w:rsidR="003075B4" w:rsidRDefault="003075B4" w:rsidP="00727777">
      <w:pPr>
        <w:pStyle w:val="BodyTextIndent"/>
        <w:ind w:firstLine="142"/>
        <w:rPr>
          <w:kern w:val="16"/>
        </w:rPr>
      </w:pPr>
      <w:r>
        <w:rPr>
          <w:kern w:val="16"/>
        </w:rPr>
        <w:t xml:space="preserve">A consolidation campaign on the CC was started during the 2008-09 </w:t>
      </w:r>
      <w:proofErr w:type="gramStart"/>
      <w:r>
        <w:rPr>
          <w:kern w:val="16"/>
        </w:rPr>
        <w:t>shutdown</w:t>
      </w:r>
      <w:proofErr w:type="gramEnd"/>
      <w:r>
        <w:rPr>
          <w:kern w:val="16"/>
        </w:rPr>
        <w:t xml:space="preserve"> [12]. To avoid major delays and as tests have proven that the risk was very low, two CC (L1&amp;3) were not consolidated and one was even not </w:t>
      </w:r>
      <w:r>
        <w:rPr>
          <w:kern w:val="16"/>
        </w:rPr>
        <w:lastRenderedPageBreak/>
        <w:t xml:space="preserve">inspected (L8). During LS1, the baseline is to inspect all the CC to check the long term efficiency of the </w:t>
      </w:r>
      <w:r w:rsidR="00781520">
        <w:rPr>
          <w:kern w:val="16"/>
        </w:rPr>
        <w:t xml:space="preserve">fixing procedure and especially </w:t>
      </w:r>
      <w:r>
        <w:rPr>
          <w:kern w:val="16"/>
        </w:rPr>
        <w:t>the CC L8</w:t>
      </w:r>
      <w:r w:rsidR="00781520">
        <w:rPr>
          <w:kern w:val="16"/>
        </w:rPr>
        <w:t xml:space="preserve"> for which no info is available</w:t>
      </w:r>
      <w:r>
        <w:rPr>
          <w:kern w:val="16"/>
        </w:rPr>
        <w:t xml:space="preserve">; consolidate it if necessary and also the 2 remaining ones. Note that </w:t>
      </w:r>
      <w:r w:rsidR="00781520">
        <w:rPr>
          <w:kern w:val="16"/>
        </w:rPr>
        <w:t xml:space="preserve">if </w:t>
      </w:r>
      <w:r>
        <w:rPr>
          <w:kern w:val="16"/>
        </w:rPr>
        <w:t xml:space="preserve">the DS collimators </w:t>
      </w:r>
      <w:r w:rsidR="00781520">
        <w:rPr>
          <w:kern w:val="16"/>
        </w:rPr>
        <w:t xml:space="preserve">had been installed </w:t>
      </w:r>
      <w:r>
        <w:rPr>
          <w:kern w:val="16"/>
        </w:rPr>
        <w:t>in IR3</w:t>
      </w:r>
      <w:r w:rsidR="00781520">
        <w:rPr>
          <w:kern w:val="16"/>
        </w:rPr>
        <w:t>,</w:t>
      </w:r>
      <w:r>
        <w:rPr>
          <w:kern w:val="16"/>
        </w:rPr>
        <w:t xml:space="preserve"> the CC in 11L3 </w:t>
      </w:r>
      <w:r w:rsidR="00781520">
        <w:rPr>
          <w:kern w:val="16"/>
        </w:rPr>
        <w:t xml:space="preserve">would have been replaced by a shorter one, cancelling the need for its consolidation. </w:t>
      </w:r>
    </w:p>
    <w:p w:rsidR="00781520" w:rsidRPr="002E034E" w:rsidRDefault="00781520" w:rsidP="00781520">
      <w:pPr>
        <w:pStyle w:val="Heading3"/>
        <w:rPr>
          <w:rFonts w:cs="Times New Roman"/>
          <w:i w:val="0"/>
          <w:kern w:val="16"/>
        </w:rPr>
      </w:pPr>
      <w:r>
        <w:rPr>
          <w:rFonts w:cs="Times New Roman"/>
          <w:kern w:val="16"/>
        </w:rPr>
        <w:t xml:space="preserve">Safety pressure relief devices </w:t>
      </w:r>
      <w:r>
        <w:rPr>
          <w:rFonts w:cs="Times New Roman"/>
          <w:i w:val="0"/>
          <w:kern w:val="16"/>
        </w:rPr>
        <w:t>[13]</w:t>
      </w:r>
    </w:p>
    <w:p w:rsidR="00781520" w:rsidRDefault="00781520" w:rsidP="00781520">
      <w:pPr>
        <w:pStyle w:val="BodyTextIndent"/>
        <w:ind w:firstLine="170"/>
      </w:pPr>
      <w:r>
        <w:rPr>
          <w:kern w:val="16"/>
        </w:rPr>
        <w:t xml:space="preserve">In the 2008-09 </w:t>
      </w:r>
      <w:proofErr w:type="gramStart"/>
      <w:r>
        <w:rPr>
          <w:kern w:val="16"/>
        </w:rPr>
        <w:t>shutdown</w:t>
      </w:r>
      <w:proofErr w:type="gramEnd"/>
      <w:r>
        <w:rPr>
          <w:kern w:val="16"/>
        </w:rPr>
        <w:t xml:space="preserve">, </w:t>
      </w:r>
      <w:r w:rsidR="00C20BD4">
        <w:rPr>
          <w:kern w:val="16"/>
        </w:rPr>
        <w:t>three</w:t>
      </w:r>
      <w:r>
        <w:rPr>
          <w:kern w:val="16"/>
        </w:rPr>
        <w:t xml:space="preserve"> sectors were not warmed up and </w:t>
      </w:r>
      <w:r w:rsidR="00C20BD4">
        <w:rPr>
          <w:kern w:val="16"/>
        </w:rPr>
        <w:t>therefore</w:t>
      </w:r>
      <w:r>
        <w:rPr>
          <w:kern w:val="16"/>
        </w:rPr>
        <w:t xml:space="preserve">, it was not possible to install </w:t>
      </w:r>
      <w:r w:rsidR="005970CE">
        <w:rPr>
          <w:kern w:val="16"/>
        </w:rPr>
        <w:t xml:space="preserve">all </w:t>
      </w:r>
      <w:r>
        <w:rPr>
          <w:kern w:val="16"/>
        </w:rPr>
        <w:t xml:space="preserve">the DN200 pressure relief devices. Also, the safety pressure relief </w:t>
      </w:r>
      <w:r w:rsidR="00C20BD4">
        <w:rPr>
          <w:kern w:val="16"/>
        </w:rPr>
        <w:t>devices could not be installed i</w:t>
      </w:r>
      <w:r>
        <w:rPr>
          <w:kern w:val="16"/>
        </w:rPr>
        <w:t xml:space="preserve">n </w:t>
      </w:r>
      <w:r>
        <w:t xml:space="preserve">Q6R2 &amp; Q6L8. It is planned to complete the </w:t>
      </w:r>
      <w:r w:rsidR="0071407C">
        <w:t>installation of the safety pressure relief devices</w:t>
      </w:r>
      <w:r>
        <w:t xml:space="preserve"> during the next shutdown. About 600 relief valves have to be installed. </w:t>
      </w:r>
      <w:r w:rsidR="002A5E98">
        <w:t xml:space="preserve">Self reclosing “flap” valves will also be installed [14]. </w:t>
      </w:r>
    </w:p>
    <w:p w:rsidR="00FB1196" w:rsidRPr="00EA653A" w:rsidRDefault="00FB1196" w:rsidP="00FB1196">
      <w:pPr>
        <w:pStyle w:val="Heading3"/>
        <w:rPr>
          <w:rFonts w:cs="Times New Roman"/>
          <w:kern w:val="16"/>
        </w:rPr>
      </w:pPr>
      <w:r>
        <w:rPr>
          <w:rFonts w:cs="Times New Roman"/>
          <w:kern w:val="16"/>
        </w:rPr>
        <w:t>Plug-In Modules (PIMs)</w:t>
      </w:r>
    </w:p>
    <w:p w:rsidR="00072D79" w:rsidRDefault="00C025F7" w:rsidP="00727777">
      <w:pPr>
        <w:pStyle w:val="BodyTextIndent"/>
        <w:ind w:firstLine="142"/>
        <w:rPr>
          <w:noProof/>
          <w:kern w:val="16"/>
          <w:lang w:val="en-US"/>
        </w:rPr>
      </w:pPr>
      <w:r>
        <w:t>The strategy [7</w:t>
      </w:r>
      <w:proofErr w:type="gramStart"/>
      <w:r>
        <w:t>,14</w:t>
      </w:r>
      <w:proofErr w:type="gramEnd"/>
      <w:r>
        <w:t xml:space="preserve">] is summarised in Table 2. </w:t>
      </w:r>
      <w:r w:rsidR="0071407C">
        <w:t>As some bellows are very fragile, new p</w:t>
      </w:r>
      <w:r w:rsidR="00DD7EDF">
        <w:t xml:space="preserve">ermanent protection shells will be installed </w:t>
      </w:r>
      <w:r w:rsidR="00A87C3D">
        <w:t xml:space="preserve">before the closure of the ICs </w:t>
      </w:r>
      <w:r w:rsidR="00DD7EDF">
        <w:t>[</w:t>
      </w:r>
      <w:r w:rsidR="00924807">
        <w:t>14</w:t>
      </w:r>
      <w:proofErr w:type="gramStart"/>
      <w:r w:rsidR="00924807">
        <w:t>,</w:t>
      </w:r>
      <w:r w:rsidR="00DD7EDF">
        <w:t>15</w:t>
      </w:r>
      <w:proofErr w:type="gramEnd"/>
      <w:r w:rsidR="00DD7EDF">
        <w:t xml:space="preserve">]. </w:t>
      </w:r>
    </w:p>
    <w:p w:rsidR="00FB1196" w:rsidRDefault="00FB1196" w:rsidP="00FB1196">
      <w:pPr>
        <w:pStyle w:val="BodyTextIndent"/>
        <w:keepNext/>
        <w:ind w:firstLine="0"/>
        <w:jc w:val="center"/>
        <w:rPr>
          <w:kern w:val="16"/>
        </w:rPr>
      </w:pPr>
      <w:r>
        <w:rPr>
          <w:kern w:val="16"/>
        </w:rPr>
        <w:t>Table 2: Replacement of PIMs</w:t>
      </w:r>
    </w:p>
    <w:tbl>
      <w:tblPr>
        <w:tblStyle w:val="TableGrid"/>
        <w:tblW w:w="4820" w:type="dxa"/>
        <w:tblInd w:w="108" w:type="dxa"/>
        <w:tblLayout w:type="fixed"/>
        <w:tblLook w:val="04A0"/>
      </w:tblPr>
      <w:tblGrid>
        <w:gridCol w:w="2410"/>
        <w:gridCol w:w="851"/>
        <w:gridCol w:w="1559"/>
      </w:tblGrid>
      <w:tr w:rsidR="00C35CE9" w:rsidTr="00C025F7">
        <w:tc>
          <w:tcPr>
            <w:tcW w:w="2410" w:type="dxa"/>
          </w:tcPr>
          <w:p w:rsidR="00C35CE9" w:rsidRPr="00371525" w:rsidRDefault="00C35CE9" w:rsidP="00FB1196">
            <w:pPr>
              <w:pStyle w:val="BodyTextIndent"/>
              <w:keepNext/>
              <w:ind w:firstLine="0"/>
              <w:jc w:val="center"/>
              <w:rPr>
                <w:b/>
                <w:kern w:val="16"/>
                <w:u w:val="single"/>
              </w:rPr>
            </w:pPr>
            <w:r w:rsidRPr="00371525">
              <w:rPr>
                <w:b/>
                <w:kern w:val="16"/>
                <w:u w:val="single"/>
              </w:rPr>
              <w:t>Reason</w:t>
            </w:r>
          </w:p>
        </w:tc>
        <w:tc>
          <w:tcPr>
            <w:tcW w:w="851" w:type="dxa"/>
          </w:tcPr>
          <w:p w:rsidR="00C35CE9" w:rsidRPr="00371525" w:rsidRDefault="00C35CE9" w:rsidP="00FB1196">
            <w:pPr>
              <w:pStyle w:val="BodyTextIndent"/>
              <w:keepNext/>
              <w:ind w:firstLine="0"/>
              <w:jc w:val="center"/>
              <w:rPr>
                <w:b/>
                <w:kern w:val="16"/>
                <w:u w:val="single"/>
              </w:rPr>
            </w:pPr>
            <w:r>
              <w:rPr>
                <w:b/>
                <w:kern w:val="16"/>
                <w:u w:val="single"/>
              </w:rPr>
              <w:t>#</w:t>
            </w:r>
          </w:p>
        </w:tc>
        <w:tc>
          <w:tcPr>
            <w:tcW w:w="1559" w:type="dxa"/>
          </w:tcPr>
          <w:p w:rsidR="00C35CE9" w:rsidRPr="00371525" w:rsidRDefault="00C35CE9" w:rsidP="00C35CE9">
            <w:pPr>
              <w:pStyle w:val="BodyTextIndent"/>
              <w:keepNext/>
              <w:ind w:firstLine="0"/>
              <w:jc w:val="center"/>
              <w:rPr>
                <w:b/>
                <w:kern w:val="16"/>
                <w:u w:val="single"/>
              </w:rPr>
            </w:pPr>
            <w:r>
              <w:rPr>
                <w:b/>
                <w:kern w:val="16"/>
                <w:u w:val="single"/>
              </w:rPr>
              <w:t>Remark</w:t>
            </w:r>
          </w:p>
        </w:tc>
      </w:tr>
      <w:tr w:rsidR="00C35CE9" w:rsidTr="000A4EE3">
        <w:tc>
          <w:tcPr>
            <w:tcW w:w="2410" w:type="dxa"/>
          </w:tcPr>
          <w:p w:rsidR="00C35CE9" w:rsidRDefault="00C35CE9" w:rsidP="00C35CE9">
            <w:pPr>
              <w:pStyle w:val="BodyTextIndent"/>
              <w:keepNext/>
              <w:ind w:firstLine="0"/>
              <w:jc w:val="left"/>
              <w:rPr>
                <w:kern w:val="16"/>
              </w:rPr>
            </w:pPr>
            <w:r>
              <w:rPr>
                <w:kern w:val="16"/>
              </w:rPr>
              <w:t>Preventive replacements at the arc extremities (Q7/MB; MB/Q7)</w:t>
            </w:r>
          </w:p>
        </w:tc>
        <w:tc>
          <w:tcPr>
            <w:tcW w:w="851" w:type="dxa"/>
            <w:vAlign w:val="center"/>
          </w:tcPr>
          <w:p w:rsidR="00C35CE9" w:rsidRDefault="00C35CE9" w:rsidP="000A4EE3">
            <w:pPr>
              <w:pStyle w:val="BodyTextIndent"/>
              <w:keepNext/>
              <w:ind w:firstLine="0"/>
              <w:jc w:val="center"/>
              <w:rPr>
                <w:kern w:val="16"/>
              </w:rPr>
            </w:pPr>
            <w:r>
              <w:rPr>
                <w:kern w:val="16"/>
              </w:rPr>
              <w:t>18</w:t>
            </w:r>
          </w:p>
        </w:tc>
        <w:tc>
          <w:tcPr>
            <w:tcW w:w="1559" w:type="dxa"/>
          </w:tcPr>
          <w:p w:rsidR="00C35CE9" w:rsidRDefault="00C35CE9" w:rsidP="00FB1196">
            <w:pPr>
              <w:pStyle w:val="BodyTextIndent"/>
              <w:keepNext/>
              <w:ind w:firstLine="0"/>
              <w:jc w:val="center"/>
              <w:rPr>
                <w:kern w:val="16"/>
              </w:rPr>
            </w:pPr>
            <w:r>
              <w:rPr>
                <w:kern w:val="16"/>
              </w:rPr>
              <w:t>Some already re-placed in 2008-09</w:t>
            </w:r>
          </w:p>
        </w:tc>
      </w:tr>
      <w:tr w:rsidR="00C35CE9" w:rsidTr="000A4EE3">
        <w:tc>
          <w:tcPr>
            <w:tcW w:w="2410" w:type="dxa"/>
          </w:tcPr>
          <w:p w:rsidR="00C35CE9" w:rsidRDefault="00C35CE9" w:rsidP="00C35CE9">
            <w:pPr>
              <w:pStyle w:val="BodyTextIndent"/>
              <w:keepNext/>
              <w:ind w:firstLine="0"/>
              <w:jc w:val="left"/>
              <w:rPr>
                <w:kern w:val="16"/>
              </w:rPr>
            </w:pPr>
            <w:r>
              <w:rPr>
                <w:kern w:val="16"/>
              </w:rPr>
              <w:t>Heavily damaged</w:t>
            </w:r>
          </w:p>
        </w:tc>
        <w:tc>
          <w:tcPr>
            <w:tcW w:w="851" w:type="dxa"/>
            <w:vAlign w:val="center"/>
          </w:tcPr>
          <w:p w:rsidR="00C35CE9" w:rsidRDefault="00C35CE9" w:rsidP="000A4EE3">
            <w:pPr>
              <w:pStyle w:val="BodyTextIndent"/>
              <w:keepNext/>
              <w:ind w:firstLine="0"/>
              <w:jc w:val="center"/>
              <w:rPr>
                <w:kern w:val="16"/>
              </w:rPr>
            </w:pPr>
            <w:r>
              <w:rPr>
                <w:kern w:val="16"/>
              </w:rPr>
              <w:sym w:font="Symbol" w:char="F0BB"/>
            </w:r>
            <w:r>
              <w:rPr>
                <w:kern w:val="16"/>
              </w:rPr>
              <w:t>10</w:t>
            </w:r>
          </w:p>
        </w:tc>
        <w:tc>
          <w:tcPr>
            <w:tcW w:w="1559" w:type="dxa"/>
          </w:tcPr>
          <w:p w:rsidR="00C35CE9" w:rsidRDefault="00C35CE9" w:rsidP="00FB1196">
            <w:pPr>
              <w:pStyle w:val="BodyTextIndent"/>
              <w:keepNext/>
              <w:ind w:firstLine="0"/>
              <w:jc w:val="center"/>
              <w:rPr>
                <w:kern w:val="16"/>
              </w:rPr>
            </w:pPr>
          </w:p>
        </w:tc>
      </w:tr>
      <w:tr w:rsidR="00C35CE9" w:rsidTr="000A4EE3">
        <w:tc>
          <w:tcPr>
            <w:tcW w:w="2410" w:type="dxa"/>
          </w:tcPr>
          <w:p w:rsidR="00C35CE9" w:rsidRDefault="00C35CE9" w:rsidP="00C35CE9">
            <w:pPr>
              <w:pStyle w:val="BodyTextIndent"/>
              <w:keepNext/>
              <w:ind w:firstLine="0"/>
              <w:jc w:val="left"/>
              <w:rPr>
                <w:kern w:val="16"/>
              </w:rPr>
            </w:pPr>
            <w:r>
              <w:rPr>
                <w:kern w:val="16"/>
              </w:rPr>
              <w:t>Failure at warm-up</w:t>
            </w:r>
          </w:p>
        </w:tc>
        <w:tc>
          <w:tcPr>
            <w:tcW w:w="851" w:type="dxa"/>
            <w:vAlign w:val="center"/>
          </w:tcPr>
          <w:p w:rsidR="00C35CE9" w:rsidRDefault="00C35CE9" w:rsidP="000A4EE3">
            <w:pPr>
              <w:pStyle w:val="BodyTextIndent"/>
              <w:keepNext/>
              <w:ind w:firstLine="0"/>
              <w:jc w:val="center"/>
              <w:rPr>
                <w:kern w:val="16"/>
              </w:rPr>
            </w:pPr>
            <w:r>
              <w:rPr>
                <w:kern w:val="16"/>
              </w:rPr>
              <w:sym w:font="Symbol" w:char="F0BB"/>
            </w:r>
            <w:r>
              <w:rPr>
                <w:kern w:val="16"/>
              </w:rPr>
              <w:t>14-18</w:t>
            </w:r>
          </w:p>
        </w:tc>
        <w:tc>
          <w:tcPr>
            <w:tcW w:w="1559" w:type="dxa"/>
          </w:tcPr>
          <w:p w:rsidR="00C35CE9" w:rsidRDefault="00C35CE9" w:rsidP="00FB1196">
            <w:pPr>
              <w:pStyle w:val="BodyTextIndent"/>
              <w:keepNext/>
              <w:ind w:firstLine="0"/>
              <w:jc w:val="center"/>
              <w:rPr>
                <w:kern w:val="16"/>
              </w:rPr>
            </w:pPr>
            <w:r>
              <w:rPr>
                <w:kern w:val="16"/>
              </w:rPr>
              <w:t>Estimate</w:t>
            </w:r>
          </w:p>
        </w:tc>
      </w:tr>
      <w:tr w:rsidR="00C35CE9" w:rsidTr="000A4EE3">
        <w:tc>
          <w:tcPr>
            <w:tcW w:w="2410" w:type="dxa"/>
          </w:tcPr>
          <w:p w:rsidR="00C35CE9" w:rsidRDefault="00C35CE9" w:rsidP="000B740F">
            <w:pPr>
              <w:pStyle w:val="BodyTextIndent"/>
              <w:keepNext/>
              <w:ind w:firstLine="0"/>
              <w:jc w:val="left"/>
              <w:rPr>
                <w:kern w:val="16"/>
              </w:rPr>
            </w:pPr>
            <w:r>
              <w:rPr>
                <w:kern w:val="16"/>
              </w:rPr>
              <w:t xml:space="preserve">Around </w:t>
            </w:r>
            <w:r w:rsidR="000B740F">
              <w:rPr>
                <w:kern w:val="16"/>
              </w:rPr>
              <w:t xml:space="preserve">exchanged </w:t>
            </w:r>
            <w:r w:rsidR="00C025F7">
              <w:rPr>
                <w:kern w:val="16"/>
              </w:rPr>
              <w:t xml:space="preserve">arc </w:t>
            </w:r>
            <w:proofErr w:type="spellStart"/>
            <w:r>
              <w:rPr>
                <w:kern w:val="16"/>
              </w:rPr>
              <w:t>cryomagnets</w:t>
            </w:r>
            <w:proofErr w:type="spellEnd"/>
            <w:r>
              <w:rPr>
                <w:kern w:val="16"/>
              </w:rPr>
              <w:t xml:space="preserve"> </w:t>
            </w:r>
            <w:r w:rsidR="00C025F7">
              <w:rPr>
                <w:kern w:val="16"/>
              </w:rPr>
              <w:t>(#18)</w:t>
            </w:r>
          </w:p>
        </w:tc>
        <w:tc>
          <w:tcPr>
            <w:tcW w:w="851" w:type="dxa"/>
            <w:vAlign w:val="center"/>
          </w:tcPr>
          <w:p w:rsidR="00C35CE9" w:rsidRDefault="00C35CE9" w:rsidP="000A4EE3">
            <w:pPr>
              <w:pStyle w:val="BodyTextIndent"/>
              <w:keepNext/>
              <w:ind w:firstLine="0"/>
              <w:jc w:val="center"/>
              <w:rPr>
                <w:kern w:val="16"/>
              </w:rPr>
            </w:pPr>
            <w:r>
              <w:rPr>
                <w:kern w:val="16"/>
              </w:rPr>
              <w:t>72</w:t>
            </w:r>
          </w:p>
        </w:tc>
        <w:tc>
          <w:tcPr>
            <w:tcW w:w="1559" w:type="dxa"/>
          </w:tcPr>
          <w:p w:rsidR="00C35CE9" w:rsidRDefault="00C025F7" w:rsidP="00C025F7">
            <w:pPr>
              <w:pStyle w:val="BodyTextIndent"/>
              <w:keepNext/>
              <w:ind w:firstLine="0"/>
              <w:jc w:val="center"/>
              <w:rPr>
                <w:kern w:val="16"/>
              </w:rPr>
            </w:pPr>
            <w:r>
              <w:rPr>
                <w:kern w:val="16"/>
              </w:rPr>
              <w:t>4 per</w:t>
            </w:r>
            <w:r w:rsidR="00C35CE9">
              <w:rPr>
                <w:kern w:val="16"/>
              </w:rPr>
              <w:t xml:space="preserve"> </w:t>
            </w:r>
            <w:proofErr w:type="spellStart"/>
            <w:r>
              <w:rPr>
                <w:kern w:val="16"/>
              </w:rPr>
              <w:t>cryomagnet</w:t>
            </w:r>
            <w:proofErr w:type="spellEnd"/>
          </w:p>
        </w:tc>
      </w:tr>
      <w:tr w:rsidR="00C35CE9" w:rsidTr="000A4EE3">
        <w:tc>
          <w:tcPr>
            <w:tcW w:w="2410" w:type="dxa"/>
          </w:tcPr>
          <w:p w:rsidR="00C35CE9" w:rsidRDefault="00C35CE9" w:rsidP="00FB1196">
            <w:pPr>
              <w:pStyle w:val="BodyTextIndent"/>
              <w:keepNext/>
              <w:ind w:firstLine="0"/>
              <w:jc w:val="right"/>
              <w:rPr>
                <w:kern w:val="16"/>
              </w:rPr>
            </w:pPr>
            <w:r>
              <w:rPr>
                <w:kern w:val="16"/>
              </w:rPr>
              <w:t>TOTAL</w:t>
            </w:r>
          </w:p>
        </w:tc>
        <w:tc>
          <w:tcPr>
            <w:tcW w:w="851" w:type="dxa"/>
            <w:vAlign w:val="center"/>
          </w:tcPr>
          <w:p w:rsidR="00C35CE9" w:rsidRDefault="00C025F7" w:rsidP="000A4EE3">
            <w:pPr>
              <w:pStyle w:val="BodyTextIndent"/>
              <w:keepNext/>
              <w:ind w:firstLine="0"/>
              <w:jc w:val="center"/>
              <w:rPr>
                <w:kern w:val="16"/>
              </w:rPr>
            </w:pPr>
            <w:r>
              <w:rPr>
                <w:kern w:val="16"/>
              </w:rPr>
              <w:sym w:font="Symbol" w:char="F0BB"/>
            </w:r>
            <w:r>
              <w:rPr>
                <w:kern w:val="16"/>
              </w:rPr>
              <w:t>116</w:t>
            </w:r>
          </w:p>
        </w:tc>
        <w:tc>
          <w:tcPr>
            <w:tcW w:w="1559" w:type="dxa"/>
          </w:tcPr>
          <w:p w:rsidR="00C35CE9" w:rsidRDefault="00C025F7" w:rsidP="00FB1196">
            <w:pPr>
              <w:pStyle w:val="BodyTextIndent"/>
              <w:keepNext/>
              <w:ind w:firstLine="0"/>
              <w:jc w:val="center"/>
              <w:rPr>
                <w:kern w:val="16"/>
              </w:rPr>
            </w:pPr>
            <w:r>
              <w:rPr>
                <w:kern w:val="16"/>
              </w:rPr>
              <w:t>Estimate</w:t>
            </w:r>
          </w:p>
        </w:tc>
      </w:tr>
    </w:tbl>
    <w:p w:rsidR="007A7FD5" w:rsidRPr="00EA653A" w:rsidRDefault="007A7FD5" w:rsidP="007A7FD5">
      <w:pPr>
        <w:pStyle w:val="Heading3"/>
        <w:rPr>
          <w:rFonts w:cs="Times New Roman"/>
          <w:kern w:val="16"/>
        </w:rPr>
      </w:pPr>
      <w:r>
        <w:rPr>
          <w:rFonts w:cs="Times New Roman"/>
          <w:kern w:val="16"/>
        </w:rPr>
        <w:t>Circuits issues</w:t>
      </w:r>
    </w:p>
    <w:p w:rsidR="00D10511" w:rsidRDefault="00872541" w:rsidP="00D10511">
      <w:pPr>
        <w:pStyle w:val="BodyTextIndent"/>
        <w:ind w:firstLine="142"/>
        <w:rPr>
          <w:noProof/>
          <w:kern w:val="16"/>
          <w:lang w:val="en-US"/>
        </w:rPr>
      </w:pPr>
      <w:r>
        <w:rPr>
          <w:noProof/>
          <w:kern w:val="16"/>
          <w:lang w:val="en-US"/>
        </w:rPr>
        <w:t xml:space="preserve">For various reasons, </w:t>
      </w:r>
      <w:r w:rsidR="0071407C">
        <w:rPr>
          <w:noProof/>
          <w:kern w:val="16"/>
          <w:lang w:val="en-US"/>
        </w:rPr>
        <w:t>both</w:t>
      </w:r>
      <w:r>
        <w:rPr>
          <w:noProof/>
          <w:kern w:val="16"/>
          <w:lang w:val="en-US"/>
        </w:rPr>
        <w:t xml:space="preserve"> the main </w:t>
      </w:r>
      <w:r w:rsidR="0071407C">
        <w:rPr>
          <w:noProof/>
          <w:kern w:val="16"/>
          <w:lang w:val="en-US"/>
        </w:rPr>
        <w:t>circuits and</w:t>
      </w:r>
      <w:r>
        <w:rPr>
          <w:noProof/>
          <w:kern w:val="16"/>
          <w:lang w:val="en-US"/>
        </w:rPr>
        <w:t xml:space="preserve"> also many correctors have not been commissionned up to 7 TeV equivalent current</w:t>
      </w:r>
      <w:r w:rsidR="005970CE">
        <w:rPr>
          <w:noProof/>
          <w:kern w:val="16"/>
          <w:lang w:val="en-US"/>
        </w:rPr>
        <w:t> </w:t>
      </w:r>
      <w:r>
        <w:rPr>
          <w:noProof/>
          <w:kern w:val="16"/>
          <w:lang w:val="en-US"/>
        </w:rPr>
        <w:t>[7, 17, 18, 19]. Some are planned be treat</w:t>
      </w:r>
      <w:r w:rsidR="000B740F">
        <w:rPr>
          <w:noProof/>
          <w:kern w:val="16"/>
          <w:lang w:val="en-US"/>
        </w:rPr>
        <w:t>ed during LS1, some not, like D2</w:t>
      </w:r>
      <w:r>
        <w:rPr>
          <w:noProof/>
          <w:kern w:val="16"/>
          <w:lang w:val="en-US"/>
        </w:rPr>
        <w:t xml:space="preserve">R8 for example. Extensive testing at cold and warm before the opening of the </w:t>
      </w:r>
      <w:r w:rsidR="004B076D">
        <w:rPr>
          <w:noProof/>
          <w:kern w:val="16"/>
          <w:lang w:val="en-US"/>
        </w:rPr>
        <w:t>IC</w:t>
      </w:r>
      <w:r w:rsidR="005970CE">
        <w:rPr>
          <w:noProof/>
          <w:kern w:val="16"/>
          <w:lang w:val="en-US"/>
        </w:rPr>
        <w:t>s</w:t>
      </w:r>
      <w:r>
        <w:rPr>
          <w:noProof/>
          <w:kern w:val="16"/>
          <w:lang w:val="en-US"/>
        </w:rPr>
        <w:t xml:space="preserve"> should be done in order to </w:t>
      </w:r>
      <w:r w:rsidR="00613EE4">
        <w:rPr>
          <w:noProof/>
          <w:kern w:val="16"/>
          <w:lang w:val="en-US"/>
        </w:rPr>
        <w:t xml:space="preserve">assess the real limitations and support the preparation of the possible interventions. In paralell, actual and realistic requirements for operation towards 7 TeV needs to be devised, using the experience acquired thanks to LHC runs so far. This should be given sufficient resources and time to allow to focus efforts on the prioritary interventions. </w:t>
      </w:r>
      <w:r w:rsidR="0071407C">
        <w:rPr>
          <w:noProof/>
          <w:kern w:val="16"/>
          <w:lang w:val="en-US"/>
        </w:rPr>
        <w:t>In that phase, u</w:t>
      </w:r>
      <w:r w:rsidR="00613EE4">
        <w:rPr>
          <w:noProof/>
          <w:kern w:val="16"/>
          <w:lang w:val="en-US"/>
        </w:rPr>
        <w:t>nknown non-confor</w:t>
      </w:r>
      <w:r w:rsidR="00F86937">
        <w:rPr>
          <w:noProof/>
          <w:kern w:val="16"/>
          <w:lang w:val="en-US"/>
        </w:rPr>
        <w:t xml:space="preserve">mities would </w:t>
      </w:r>
      <w:r w:rsidR="0071407C">
        <w:rPr>
          <w:noProof/>
          <w:kern w:val="16"/>
          <w:lang w:val="en-US"/>
        </w:rPr>
        <w:t>require</w:t>
      </w:r>
      <w:r w:rsidR="00F86937">
        <w:rPr>
          <w:noProof/>
          <w:kern w:val="16"/>
          <w:lang w:val="en-US"/>
        </w:rPr>
        <w:t xml:space="preserve"> </w:t>
      </w:r>
      <w:r w:rsidR="00613EE4">
        <w:rPr>
          <w:noProof/>
          <w:kern w:val="16"/>
          <w:lang w:val="en-US"/>
        </w:rPr>
        <w:t xml:space="preserve">interventions </w:t>
      </w:r>
      <w:r w:rsidR="005970CE">
        <w:rPr>
          <w:noProof/>
          <w:kern w:val="16"/>
          <w:lang w:val="en-US"/>
        </w:rPr>
        <w:t xml:space="preserve">that </w:t>
      </w:r>
      <w:r w:rsidR="00613EE4">
        <w:rPr>
          <w:noProof/>
          <w:kern w:val="16"/>
          <w:lang w:val="en-US"/>
        </w:rPr>
        <w:t xml:space="preserve">could </w:t>
      </w:r>
      <w:r w:rsidR="00F86937">
        <w:rPr>
          <w:noProof/>
          <w:kern w:val="16"/>
          <w:lang w:val="en-US"/>
        </w:rPr>
        <w:t xml:space="preserve">have major impact on resources and schedule. </w:t>
      </w:r>
    </w:p>
    <w:p w:rsidR="00D10511" w:rsidRPr="00EA653A" w:rsidRDefault="008527AA" w:rsidP="00D10511">
      <w:pPr>
        <w:pStyle w:val="Heading3"/>
        <w:rPr>
          <w:rFonts w:cs="Times New Roman"/>
          <w:kern w:val="16"/>
        </w:rPr>
      </w:pPr>
      <w:r>
        <w:rPr>
          <w:rFonts w:cs="Times New Roman"/>
          <w:kern w:val="16"/>
        </w:rPr>
        <w:t>Other issue</w:t>
      </w:r>
      <w:r w:rsidR="00D10511">
        <w:rPr>
          <w:rFonts w:cs="Times New Roman"/>
          <w:kern w:val="16"/>
        </w:rPr>
        <w:t>s</w:t>
      </w:r>
    </w:p>
    <w:p w:rsidR="00D10511" w:rsidRDefault="00D10511" w:rsidP="00D10511">
      <w:pPr>
        <w:pStyle w:val="BodyTextIndent"/>
        <w:ind w:firstLine="142"/>
        <w:rPr>
          <w:noProof/>
          <w:kern w:val="16"/>
          <w:lang w:val="en-US"/>
        </w:rPr>
      </w:pPr>
      <w:r>
        <w:rPr>
          <w:noProof/>
          <w:kern w:val="16"/>
          <w:lang w:val="en-US"/>
        </w:rPr>
        <w:t>The helium level gauge of two stand-alone magnets will be consolidated (Q6R2&amp;L8). [7,16]</w:t>
      </w:r>
    </w:p>
    <w:p w:rsidR="00D10511" w:rsidRDefault="00D10511" w:rsidP="00D10511">
      <w:pPr>
        <w:pStyle w:val="BodyTextIndent"/>
        <w:ind w:firstLine="142"/>
        <w:rPr>
          <w:noProof/>
          <w:kern w:val="16"/>
          <w:lang w:val="en-US"/>
        </w:rPr>
      </w:pPr>
      <w:r>
        <w:rPr>
          <w:noProof/>
          <w:kern w:val="16"/>
          <w:lang w:val="en-US"/>
        </w:rPr>
        <w:t>Two leaking Y-lines (17-19R7 &amp; 19-22R8) will be fixed. [7].</w:t>
      </w:r>
    </w:p>
    <w:p w:rsidR="00D10511" w:rsidRDefault="00D10511" w:rsidP="00D10511">
      <w:pPr>
        <w:pStyle w:val="BodyTextIndent"/>
        <w:ind w:firstLine="142"/>
        <w:rPr>
          <w:noProof/>
          <w:kern w:val="16"/>
          <w:lang w:val="en-US"/>
        </w:rPr>
      </w:pPr>
      <w:r>
        <w:rPr>
          <w:noProof/>
          <w:kern w:val="16"/>
          <w:lang w:val="en-US"/>
        </w:rPr>
        <w:t>The non-conformity on the passive heaters of the inner triplets [20]</w:t>
      </w:r>
      <w:r w:rsidR="000B740F">
        <w:rPr>
          <w:noProof/>
          <w:kern w:val="16"/>
          <w:lang w:val="en-US"/>
        </w:rPr>
        <w:t xml:space="preserve"> will be treated at the end of LS1 for </w:t>
      </w:r>
      <w:r w:rsidR="000B740F">
        <w:rPr>
          <w:noProof/>
          <w:kern w:val="16"/>
          <w:lang w:val="en-US"/>
        </w:rPr>
        <w:lastRenderedPageBreak/>
        <w:t xml:space="preserve">radioprotection reasons. Points 1 &amp; 5 will be treated in priority. </w:t>
      </w:r>
    </w:p>
    <w:p w:rsidR="007A7FD5" w:rsidRDefault="00143394" w:rsidP="00D10511">
      <w:pPr>
        <w:pStyle w:val="BodyTextIndent"/>
        <w:ind w:firstLine="142"/>
        <w:rPr>
          <w:noProof/>
          <w:kern w:val="16"/>
          <w:lang w:val="en-US"/>
        </w:rPr>
      </w:pPr>
      <w:r>
        <w:rPr>
          <w:noProof/>
          <w:kern w:val="16"/>
          <w:lang w:val="en-US"/>
        </w:rPr>
        <w:t>The 6</w:t>
      </w:r>
      <w:r w:rsidR="0071407C">
        <w:rPr>
          <w:noProof/>
          <w:kern w:val="16"/>
          <w:lang w:val="en-US"/>
        </w:rPr>
        <w:t> </w:t>
      </w:r>
      <w:r>
        <w:rPr>
          <w:noProof/>
          <w:kern w:val="16"/>
          <w:lang w:val="en-US"/>
        </w:rPr>
        <w:t xml:space="preserve">kA splices </w:t>
      </w:r>
      <w:r w:rsidR="0071407C">
        <w:rPr>
          <w:noProof/>
          <w:kern w:val="16"/>
          <w:lang w:val="en-US"/>
        </w:rPr>
        <w:t>resistance measurements</w:t>
      </w:r>
      <w:r>
        <w:rPr>
          <w:noProof/>
          <w:kern w:val="16"/>
          <w:lang w:val="en-US"/>
        </w:rPr>
        <w:t xml:space="preserve"> ha</w:t>
      </w:r>
      <w:r w:rsidR="0071407C">
        <w:rPr>
          <w:noProof/>
          <w:kern w:val="16"/>
          <w:lang w:val="en-US"/>
        </w:rPr>
        <w:t>ve</w:t>
      </w:r>
      <w:r>
        <w:rPr>
          <w:noProof/>
          <w:kern w:val="16"/>
          <w:lang w:val="en-US"/>
        </w:rPr>
        <w:t xml:space="preserve"> been completed and no outlier has been revealed. Targeted inspection is foreseeable. </w:t>
      </w:r>
    </w:p>
    <w:p w:rsidR="00143394" w:rsidRDefault="00143394" w:rsidP="00143394">
      <w:pPr>
        <w:pStyle w:val="BodyTextIndent"/>
        <w:ind w:firstLine="170"/>
        <w:rPr>
          <w:kern w:val="16"/>
        </w:rPr>
      </w:pPr>
      <w:r>
        <w:rPr>
          <w:kern w:val="16"/>
        </w:rPr>
        <w:t xml:space="preserve">During the assembly of the first sector (78), some 600 A line N connections were found non-conform. Most of them were inspected and redone if necessary. For the non-inspected ones, sampled inspections could be planned. </w:t>
      </w:r>
    </w:p>
    <w:p w:rsidR="00143394" w:rsidRDefault="00143394" w:rsidP="00D10511">
      <w:pPr>
        <w:pStyle w:val="BodyTextIndent"/>
        <w:ind w:firstLine="142"/>
        <w:rPr>
          <w:noProof/>
          <w:kern w:val="16"/>
        </w:rPr>
      </w:pPr>
      <w:r>
        <w:rPr>
          <w:noProof/>
          <w:kern w:val="16"/>
        </w:rPr>
        <w:t>With respect to last year plan [7,26]</w:t>
      </w:r>
      <w:r w:rsidR="00E14E5C">
        <w:rPr>
          <w:noProof/>
          <w:kern w:val="16"/>
        </w:rPr>
        <w:t>, it was decided to postpone the installation of DS collimators in IR3. This reduc</w:t>
      </w:r>
      <w:r w:rsidR="0071407C">
        <w:rPr>
          <w:noProof/>
          <w:kern w:val="16"/>
        </w:rPr>
        <w:t>es</w:t>
      </w:r>
      <w:r w:rsidR="00E14E5C">
        <w:rPr>
          <w:noProof/>
          <w:kern w:val="16"/>
        </w:rPr>
        <w:t xml:space="preserve"> the workload but, as side effect, gives extrawork fo</w:t>
      </w:r>
      <w:r w:rsidR="000B740F">
        <w:rPr>
          <w:noProof/>
          <w:kern w:val="16"/>
        </w:rPr>
        <w:t xml:space="preserve">r consolidation of the </w:t>
      </w:r>
      <w:r w:rsidR="0071407C">
        <w:rPr>
          <w:noProof/>
          <w:kern w:val="16"/>
        </w:rPr>
        <w:t>connection cryostat 11L3 and the replacement</w:t>
      </w:r>
      <w:r w:rsidR="00E14E5C">
        <w:rPr>
          <w:noProof/>
          <w:kern w:val="16"/>
        </w:rPr>
        <w:t xml:space="preserve"> of Q7R3. </w:t>
      </w:r>
    </w:p>
    <w:p w:rsidR="00E14E5C" w:rsidRDefault="00E14E5C" w:rsidP="00D10511">
      <w:pPr>
        <w:pStyle w:val="BodyTextIndent"/>
        <w:ind w:firstLine="142"/>
        <w:rPr>
          <w:kern w:val="16"/>
        </w:rPr>
      </w:pPr>
      <w:r>
        <w:rPr>
          <w:kern w:val="16"/>
        </w:rPr>
        <w:t xml:space="preserve">Many local interventions </w:t>
      </w:r>
      <w:r w:rsidR="000B740F">
        <w:rPr>
          <w:kern w:val="16"/>
        </w:rPr>
        <w:t>are required to</w:t>
      </w:r>
      <w:r>
        <w:rPr>
          <w:kern w:val="16"/>
        </w:rPr>
        <w:t xml:space="preserve"> giv</w:t>
      </w:r>
      <w:r w:rsidR="000B740F">
        <w:rPr>
          <w:kern w:val="16"/>
        </w:rPr>
        <w:t>e</w:t>
      </w:r>
      <w:r>
        <w:rPr>
          <w:kern w:val="16"/>
        </w:rPr>
        <w:t xml:space="preserve"> access for short interventions, like for example BPM cables checks and possibly repairs, recovery of the radioprotection samples for analysis [25] or installation of new ones.</w:t>
      </w:r>
    </w:p>
    <w:p w:rsidR="00746B53" w:rsidRDefault="00E14E5C" w:rsidP="00746B53">
      <w:pPr>
        <w:pStyle w:val="BodyTextIndent"/>
        <w:ind w:firstLine="170"/>
        <w:rPr>
          <w:kern w:val="16"/>
        </w:rPr>
      </w:pPr>
      <w:r>
        <w:rPr>
          <w:kern w:val="16"/>
        </w:rPr>
        <w:t xml:space="preserve">Last but not least, interventions will be required to solve new issues appearing before the shutdown and also to manage non-conformities generated by the other activities during the shutdown. This is difficult to plan but small contingency is foreseen for this. </w:t>
      </w:r>
      <w:r w:rsidR="00746B53">
        <w:rPr>
          <w:kern w:val="16"/>
        </w:rPr>
        <w:t>If</w:t>
      </w:r>
      <w:r w:rsidR="00746B53" w:rsidRPr="00746B53">
        <w:rPr>
          <w:kern w:val="16"/>
        </w:rPr>
        <w:t xml:space="preserve"> </w:t>
      </w:r>
      <w:r w:rsidR="00746B53">
        <w:rPr>
          <w:kern w:val="16"/>
        </w:rPr>
        <w:t xml:space="preserve">not sufficient, the options will be: </w:t>
      </w:r>
    </w:p>
    <w:p w:rsidR="00746B53" w:rsidRPr="00746B53" w:rsidRDefault="00746B53" w:rsidP="00746B53">
      <w:pPr>
        <w:pStyle w:val="BodyTextIndent"/>
        <w:numPr>
          <w:ilvl w:val="0"/>
          <w:numId w:val="24"/>
        </w:numPr>
        <w:ind w:left="142" w:hanging="142"/>
        <w:rPr>
          <w:kern w:val="16"/>
        </w:rPr>
      </w:pPr>
      <w:r w:rsidRPr="00746B53">
        <w:rPr>
          <w:kern w:val="16"/>
        </w:rPr>
        <w:t>To accept a longer shutdown duration allowing to shift experience</w:t>
      </w:r>
      <w:r w:rsidR="0071407C">
        <w:rPr>
          <w:kern w:val="16"/>
        </w:rPr>
        <w:t>d</w:t>
      </w:r>
      <w:r w:rsidRPr="00746B53">
        <w:rPr>
          <w:kern w:val="16"/>
        </w:rPr>
        <w:t xml:space="preserve"> resources working on the main splices t</w:t>
      </w:r>
      <w:r w:rsidR="000B740F">
        <w:rPr>
          <w:kern w:val="16"/>
        </w:rPr>
        <w:t>o the special intervention team</w:t>
      </w:r>
    </w:p>
    <w:p w:rsidR="00746B53" w:rsidRDefault="00746B53" w:rsidP="00746B53">
      <w:pPr>
        <w:pStyle w:val="BodyTextIndent"/>
        <w:numPr>
          <w:ilvl w:val="0"/>
          <w:numId w:val="24"/>
        </w:numPr>
        <w:ind w:left="142" w:hanging="142"/>
        <w:rPr>
          <w:kern w:val="16"/>
        </w:rPr>
      </w:pPr>
      <w:r w:rsidRPr="00746B53">
        <w:rPr>
          <w:kern w:val="16"/>
        </w:rPr>
        <w:t>To reduce the scope of work of the speci</w:t>
      </w:r>
      <w:r w:rsidR="000B740F">
        <w:rPr>
          <w:kern w:val="16"/>
        </w:rPr>
        <w:t>al intervention team</w:t>
      </w:r>
    </w:p>
    <w:p w:rsidR="00746B53" w:rsidRDefault="00746B53" w:rsidP="00746B53">
      <w:pPr>
        <w:pStyle w:val="BodyTextIndent"/>
        <w:ind w:firstLine="0"/>
        <w:rPr>
          <w:kern w:val="16"/>
        </w:rPr>
      </w:pPr>
      <w:r>
        <w:rPr>
          <w:kern w:val="16"/>
        </w:rPr>
        <w:t xml:space="preserve">It is not recommended to shift experienced resources planned for the main splices consolidation to the special intervention team because of the criticality of this operation. </w:t>
      </w:r>
    </w:p>
    <w:p w:rsidR="00746B53" w:rsidRDefault="00746B53" w:rsidP="005970CE">
      <w:pPr>
        <w:pStyle w:val="BodyTextIndent"/>
        <w:ind w:firstLine="170"/>
        <w:rPr>
          <w:noProof/>
          <w:kern w:val="16"/>
          <w:lang w:val="en-US"/>
        </w:rPr>
      </w:pPr>
      <w:r>
        <w:rPr>
          <w:kern w:val="16"/>
        </w:rPr>
        <w:t xml:space="preserve">It is important to remind that work will take place all around the LHC circumference, making the coordination and follow-up quite demanding in terms of supervision staff. </w:t>
      </w:r>
    </w:p>
    <w:p w:rsidR="009216F8" w:rsidRPr="00EA653A" w:rsidRDefault="00F86937" w:rsidP="001F47B3">
      <w:pPr>
        <w:pStyle w:val="Heading2"/>
        <w:spacing w:before="180"/>
        <w:rPr>
          <w:rFonts w:cs="Times New Roman"/>
        </w:rPr>
      </w:pPr>
      <w:r>
        <w:rPr>
          <w:rFonts w:cs="Times New Roman"/>
        </w:rPr>
        <w:t>organisation</w:t>
      </w:r>
      <w:r w:rsidR="001D7B32">
        <w:rPr>
          <w:rFonts w:cs="Times New Roman"/>
        </w:rPr>
        <w:t xml:space="preserve"> and resources</w:t>
      </w:r>
    </w:p>
    <w:p w:rsidR="00BD6E9C" w:rsidRDefault="00F86937" w:rsidP="00F86937">
      <w:pPr>
        <w:pStyle w:val="BodyTextIndent"/>
      </w:pPr>
      <w:r>
        <w:t xml:space="preserve">The consolidation of the superconducting magnets and circuits during LS1 </w:t>
      </w:r>
      <w:r w:rsidR="00112015">
        <w:t xml:space="preserve">generates a workload </w:t>
      </w:r>
      <w:r w:rsidR="000B740F">
        <w:t xml:space="preserve">for 220 </w:t>
      </w:r>
      <w:proofErr w:type="gramStart"/>
      <w:r w:rsidR="000B740F">
        <w:t>persons</w:t>
      </w:r>
      <w:proofErr w:type="gramEnd"/>
      <w:r w:rsidR="000B740F">
        <w:t xml:space="preserve"> full time </w:t>
      </w:r>
      <w:r w:rsidR="00112015">
        <w:t xml:space="preserve">equivalent during more than one year. </w:t>
      </w:r>
      <w:r w:rsidR="005970CE">
        <w:rPr>
          <w:lang w:val="en-US"/>
        </w:rPr>
        <w:t xml:space="preserve">It is 20 more than presented last year [23], mainly due to the decision to consolidate the DFBA circuits. Assuming committed contributions from other groups are validated, 40 persons are missing. Only one third of the involved staff is presently trained and experienced. Training will be a challenge for this year. </w:t>
      </w:r>
      <w:r w:rsidR="00112015">
        <w:t>A simplified organisation chart is given in Fig. 1.</w:t>
      </w:r>
      <w:r w:rsidR="00BD6E9C">
        <w:t xml:space="preserve"> This project is </w:t>
      </w:r>
      <w:r w:rsidR="000B740F">
        <w:t>part of</w:t>
      </w:r>
      <w:r w:rsidR="00BD6E9C">
        <w:t xml:space="preserve"> the global LS1 project led by F Bordry. </w:t>
      </w:r>
    </w:p>
    <w:p w:rsidR="00112015" w:rsidRPr="00EA653A" w:rsidRDefault="00FD7137" w:rsidP="00FD7137">
      <w:pPr>
        <w:pStyle w:val="BodyTextIndent"/>
        <w:keepNext/>
        <w:ind w:firstLine="0"/>
        <w:jc w:val="center"/>
      </w:pPr>
      <w:r>
        <w:rPr>
          <w:noProof/>
          <w:lang w:val="en-US"/>
        </w:rPr>
        <w:lastRenderedPageBreak/>
        <w:drawing>
          <wp:inline distT="0" distB="0" distL="0" distR="0">
            <wp:extent cx="2902600" cy="145786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07702" cy="1460427"/>
                    </a:xfrm>
                    <a:prstGeom prst="rect">
                      <a:avLst/>
                    </a:prstGeom>
                    <a:noFill/>
                  </pic:spPr>
                </pic:pic>
              </a:graphicData>
            </a:graphic>
          </wp:inline>
        </w:drawing>
      </w:r>
    </w:p>
    <w:p w:rsidR="00112015" w:rsidRPr="00EA653A" w:rsidRDefault="00112015" w:rsidP="00112015">
      <w:pPr>
        <w:pStyle w:val="BodyTextIndent"/>
        <w:ind w:firstLine="170"/>
        <w:jc w:val="center"/>
        <w:rPr>
          <w:noProof/>
          <w:kern w:val="16"/>
          <w:lang w:val="en-US"/>
        </w:rPr>
      </w:pPr>
      <w:r w:rsidRPr="00EA653A">
        <w:rPr>
          <w:noProof/>
          <w:kern w:val="16"/>
          <w:lang w:val="en-US"/>
        </w:rPr>
        <w:t>F</w:t>
      </w:r>
      <w:r>
        <w:rPr>
          <w:noProof/>
          <w:kern w:val="16"/>
          <w:lang w:val="en-US"/>
        </w:rPr>
        <w:t>ig. 1</w:t>
      </w:r>
      <w:r w:rsidRPr="00EA653A">
        <w:rPr>
          <w:noProof/>
          <w:kern w:val="16"/>
          <w:lang w:val="en-US"/>
        </w:rPr>
        <w:t xml:space="preserve">: </w:t>
      </w:r>
      <w:r>
        <w:rPr>
          <w:noProof/>
          <w:kern w:val="16"/>
          <w:lang w:val="en-US"/>
        </w:rPr>
        <w:t>Simplified Organisat</w:t>
      </w:r>
      <w:r w:rsidR="0071407C">
        <w:rPr>
          <w:noProof/>
          <w:kern w:val="16"/>
          <w:lang w:val="en-US"/>
        </w:rPr>
        <w:t>i</w:t>
      </w:r>
      <w:r>
        <w:rPr>
          <w:noProof/>
          <w:kern w:val="16"/>
          <w:lang w:val="en-US"/>
        </w:rPr>
        <w:t>on Chart</w:t>
      </w:r>
    </w:p>
    <w:p w:rsidR="000952DF" w:rsidRDefault="000952DF" w:rsidP="00F86937">
      <w:pPr>
        <w:pStyle w:val="BodyTextIndent"/>
      </w:pPr>
    </w:p>
    <w:p w:rsidR="00746B53" w:rsidRDefault="00FD7137" w:rsidP="00F86937">
      <w:pPr>
        <w:pStyle w:val="BodyTextIndent"/>
      </w:pPr>
      <w:r>
        <w:t>There are production and quality assurance activities and also a project office</w:t>
      </w:r>
      <w:r w:rsidR="00746B53">
        <w:t>, aiming at providing general support and coordinating some interfering activities (</w:t>
      </w:r>
      <w:r>
        <w:t>t</w:t>
      </w:r>
      <w:r w:rsidR="00EE59B6">
        <w:t>ransport, logistics, t</w:t>
      </w:r>
      <w:r>
        <w:t xml:space="preserve">ests on chains of </w:t>
      </w:r>
      <w:r w:rsidR="00746B53">
        <w:t>magnets like pr</w:t>
      </w:r>
      <w:r w:rsidR="00EE59B6">
        <w:t xml:space="preserve">essure and leak test, some ELQA) </w:t>
      </w:r>
      <w:r w:rsidR="00746B53">
        <w:t xml:space="preserve">and also activities necessary to prepare the worksite </w:t>
      </w:r>
      <w:r w:rsidR="00EE59B6">
        <w:t>[</w:t>
      </w:r>
      <w:r>
        <w:t>r</w:t>
      </w:r>
      <w:r w:rsidR="00746B53">
        <w:t>emoval of sensors (Survey, BLM,</w:t>
      </w:r>
      <w:r w:rsidR="00EE59B6">
        <w:t xml:space="preserve"> QPS,...</w:t>
      </w:r>
      <w:r w:rsidR="00746B53">
        <w:t>)</w:t>
      </w:r>
      <w:r>
        <w:t>, safety, general logistics,...]</w:t>
      </w:r>
      <w:r w:rsidR="00EE59B6">
        <w:t xml:space="preserve">. </w:t>
      </w:r>
    </w:p>
    <w:p w:rsidR="00E52C77" w:rsidRDefault="00E52C77" w:rsidP="00E52C77">
      <w:pPr>
        <w:pStyle w:val="BodyTextIndent"/>
        <w:rPr>
          <w:kern w:val="16"/>
        </w:rPr>
      </w:pPr>
      <w:r>
        <w:t>The teams working on the consolidation will start at point 5, going clockwise. Fig. 2 is an overview of the other activities to be carried out on the superconducting magnets. The S</w:t>
      </w:r>
      <w:r w:rsidR="000952DF">
        <w:t>pecial Interventions Team (S</w:t>
      </w:r>
      <w:r>
        <w:t>IT</w:t>
      </w:r>
      <w:r w:rsidR="000952DF">
        <w:t>)</w:t>
      </w:r>
      <w:r>
        <w:t xml:space="preserve"> will aim at completing its work before the arrival of the “splices train”. </w:t>
      </w:r>
    </w:p>
    <w:p w:rsidR="000952DF" w:rsidRDefault="000952DF" w:rsidP="00E52C77">
      <w:pPr>
        <w:pStyle w:val="BodyTextIndent"/>
      </w:pPr>
    </w:p>
    <w:p w:rsidR="00E52C77" w:rsidRPr="00EA653A" w:rsidRDefault="00E52C77" w:rsidP="00E52C77">
      <w:pPr>
        <w:pStyle w:val="BodyTextIndent"/>
        <w:ind w:left="-142" w:firstLine="0"/>
        <w:jc w:val="center"/>
      </w:pPr>
      <w:r>
        <w:rPr>
          <w:noProof/>
          <w:lang w:val="en-US"/>
        </w:rPr>
        <w:drawing>
          <wp:inline distT="0" distB="0" distL="0" distR="0">
            <wp:extent cx="3059632" cy="2296633"/>
            <wp:effectExtent l="19050" t="19050" r="26468" b="27467"/>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64487" cy="2300277"/>
                    </a:xfrm>
                    <a:prstGeom prst="rect">
                      <a:avLst/>
                    </a:prstGeom>
                    <a:noFill/>
                    <a:ln w="6350">
                      <a:solidFill>
                        <a:schemeClr val="tx1"/>
                      </a:solidFill>
                    </a:ln>
                  </pic:spPr>
                </pic:pic>
              </a:graphicData>
            </a:graphic>
          </wp:inline>
        </w:drawing>
      </w:r>
    </w:p>
    <w:p w:rsidR="00E52C77" w:rsidRPr="00EA653A" w:rsidRDefault="00E52C77" w:rsidP="00E52C77">
      <w:pPr>
        <w:pStyle w:val="BodyTextIndent"/>
        <w:ind w:firstLine="170"/>
        <w:jc w:val="center"/>
        <w:rPr>
          <w:noProof/>
          <w:kern w:val="16"/>
          <w:lang w:val="en-US"/>
        </w:rPr>
      </w:pPr>
      <w:r w:rsidRPr="00EA653A">
        <w:rPr>
          <w:noProof/>
          <w:kern w:val="16"/>
          <w:lang w:val="en-US"/>
        </w:rPr>
        <w:t>F</w:t>
      </w:r>
      <w:r>
        <w:rPr>
          <w:noProof/>
          <w:kern w:val="16"/>
          <w:lang w:val="en-US"/>
        </w:rPr>
        <w:t>ig. 2</w:t>
      </w:r>
      <w:r w:rsidRPr="00EA653A">
        <w:rPr>
          <w:noProof/>
          <w:kern w:val="16"/>
          <w:lang w:val="en-US"/>
        </w:rPr>
        <w:t xml:space="preserve">: </w:t>
      </w:r>
      <w:r>
        <w:rPr>
          <w:noProof/>
          <w:kern w:val="16"/>
          <w:lang w:val="en-US"/>
        </w:rPr>
        <w:t>Overview of the special interventions</w:t>
      </w:r>
    </w:p>
    <w:p w:rsidR="00E52C77" w:rsidRDefault="00D10511" w:rsidP="00F86937">
      <w:pPr>
        <w:pStyle w:val="BodyTextIndent"/>
        <w:rPr>
          <w:lang w:val="en-US"/>
        </w:rPr>
      </w:pPr>
      <w:r>
        <w:rPr>
          <w:lang w:val="en-US"/>
        </w:rPr>
        <w:t>The global planning [21</w:t>
      </w:r>
      <w:r w:rsidR="00E52C77">
        <w:rPr>
          <w:lang w:val="en-US"/>
        </w:rPr>
        <w:t xml:space="preserve">] </w:t>
      </w:r>
      <w:r w:rsidR="00673204">
        <w:rPr>
          <w:lang w:val="en-US"/>
        </w:rPr>
        <w:t>gives the boundary conditions for the consolidation of the magnets. Within the allocated space-time windows, the various teams are defining and managing t</w:t>
      </w:r>
      <w:r w:rsidR="001500B1">
        <w:rPr>
          <w:lang w:val="en-US"/>
        </w:rPr>
        <w:t>heir own detailed schedule. It is mandatory to reach the ambitious production rate of 53 IC/week. The best rate achieved during</w:t>
      </w:r>
      <w:r w:rsidR="000952DF">
        <w:rPr>
          <w:lang w:val="en-US"/>
        </w:rPr>
        <w:t xml:space="preserve"> the series installation was 30 </w:t>
      </w:r>
      <w:r w:rsidR="001500B1">
        <w:rPr>
          <w:lang w:val="en-US"/>
        </w:rPr>
        <w:t xml:space="preserve">IC/week. For the 8 sectors, the consolidation of the main splices will last 14 months and </w:t>
      </w:r>
      <w:r w:rsidR="00FD7137">
        <w:rPr>
          <w:lang w:val="en-US"/>
        </w:rPr>
        <w:t xml:space="preserve">the worksite </w:t>
      </w:r>
      <w:r w:rsidR="001500B1">
        <w:rPr>
          <w:lang w:val="en-US"/>
        </w:rPr>
        <w:t>will ex</w:t>
      </w:r>
      <w:r w:rsidR="000B740F">
        <w:rPr>
          <w:lang w:val="en-US"/>
        </w:rPr>
        <w:t>tend on four</w:t>
      </w:r>
      <w:r w:rsidR="001500B1">
        <w:rPr>
          <w:lang w:val="en-US"/>
        </w:rPr>
        <w:t xml:space="preserve"> sectors (&gt; 13 km). This does not contain any contingency. It has to be noted that the first sector will be </w:t>
      </w:r>
      <w:r w:rsidR="00FD7137">
        <w:rPr>
          <w:lang w:val="en-US"/>
        </w:rPr>
        <w:t>power tested</w:t>
      </w:r>
      <w:r w:rsidR="001500B1">
        <w:rPr>
          <w:lang w:val="en-US"/>
        </w:rPr>
        <w:t xml:space="preserve"> only one year after the start of the consolidation, too late to change anything on the work procedures. </w:t>
      </w:r>
    </w:p>
    <w:p w:rsidR="00816A0B" w:rsidRDefault="001500B1" w:rsidP="00F86937">
      <w:pPr>
        <w:pStyle w:val="BodyTextIndent"/>
        <w:rPr>
          <w:lang w:val="en-US"/>
        </w:rPr>
      </w:pPr>
      <w:r>
        <w:rPr>
          <w:lang w:val="en-US"/>
        </w:rPr>
        <w:t>A web interface tool</w:t>
      </w:r>
      <w:r w:rsidR="00086803">
        <w:rPr>
          <w:lang w:val="en-US"/>
        </w:rPr>
        <w:t>, called WISH</w:t>
      </w:r>
      <w:r w:rsidR="00816A0B">
        <w:rPr>
          <w:lang w:val="en-US"/>
        </w:rPr>
        <w:t xml:space="preserve"> [2</w:t>
      </w:r>
      <w:r w:rsidR="00D10511">
        <w:rPr>
          <w:lang w:val="en-US"/>
        </w:rPr>
        <w:t>2</w:t>
      </w:r>
      <w:r w:rsidR="00816A0B">
        <w:rPr>
          <w:lang w:val="en-US"/>
        </w:rPr>
        <w:t>]</w:t>
      </w:r>
      <w:r w:rsidR="000B740F">
        <w:rPr>
          <w:lang w:val="en-US"/>
        </w:rPr>
        <w:t xml:space="preserve"> for Web Interface </w:t>
      </w:r>
      <w:proofErr w:type="spellStart"/>
      <w:r w:rsidR="000B740F">
        <w:rPr>
          <w:lang w:val="en-US"/>
        </w:rPr>
        <w:t>SH</w:t>
      </w:r>
      <w:r w:rsidR="00086803">
        <w:rPr>
          <w:lang w:val="en-US"/>
        </w:rPr>
        <w:t>utdown</w:t>
      </w:r>
      <w:proofErr w:type="spellEnd"/>
      <w:r w:rsidR="00086803">
        <w:rPr>
          <w:lang w:val="en-US"/>
        </w:rPr>
        <w:t>,</w:t>
      </w:r>
      <w:r>
        <w:rPr>
          <w:lang w:val="en-US"/>
        </w:rPr>
        <w:t xml:space="preserve"> </w:t>
      </w:r>
      <w:r w:rsidR="00086803">
        <w:rPr>
          <w:lang w:val="en-US"/>
        </w:rPr>
        <w:t>is under development. It will</w:t>
      </w:r>
      <w:r w:rsidR="00816A0B">
        <w:rPr>
          <w:lang w:val="en-US"/>
        </w:rPr>
        <w:t>:</w:t>
      </w:r>
      <w:r w:rsidR="00086803">
        <w:rPr>
          <w:lang w:val="en-US"/>
        </w:rPr>
        <w:t xml:space="preserve"> </w:t>
      </w:r>
    </w:p>
    <w:p w:rsidR="001500B1" w:rsidRDefault="00816A0B" w:rsidP="00816A0B">
      <w:pPr>
        <w:pStyle w:val="BodyTextIndent"/>
        <w:numPr>
          <w:ilvl w:val="0"/>
          <w:numId w:val="31"/>
        </w:numPr>
        <w:ind w:left="426"/>
        <w:rPr>
          <w:lang w:val="en-US"/>
        </w:rPr>
      </w:pPr>
      <w:r>
        <w:rPr>
          <w:lang w:val="en-US"/>
        </w:rPr>
        <w:lastRenderedPageBreak/>
        <w:t xml:space="preserve">Ensure </w:t>
      </w:r>
      <w:r w:rsidR="00086803">
        <w:rPr>
          <w:lang w:val="en-US"/>
        </w:rPr>
        <w:t>real time</w:t>
      </w:r>
      <w:r>
        <w:rPr>
          <w:lang w:val="en-US"/>
        </w:rPr>
        <w:t xml:space="preserve"> recording of the work progress, easing coordination</w:t>
      </w:r>
    </w:p>
    <w:p w:rsidR="00816A0B" w:rsidRDefault="00816A0B" w:rsidP="00816A0B">
      <w:pPr>
        <w:pStyle w:val="BodyTextIndent"/>
        <w:numPr>
          <w:ilvl w:val="0"/>
          <w:numId w:val="31"/>
        </w:numPr>
        <w:ind w:left="426"/>
        <w:rPr>
          <w:lang w:val="en-US"/>
        </w:rPr>
      </w:pPr>
      <w:r>
        <w:rPr>
          <w:lang w:val="en-US"/>
        </w:rPr>
        <w:t>Trace each single task (operator, tooling)</w:t>
      </w:r>
    </w:p>
    <w:p w:rsidR="00816A0B" w:rsidRDefault="000B740F" w:rsidP="00816A0B">
      <w:pPr>
        <w:pStyle w:val="BodyTextIndent"/>
        <w:numPr>
          <w:ilvl w:val="0"/>
          <w:numId w:val="31"/>
        </w:numPr>
        <w:ind w:left="426"/>
        <w:rPr>
          <w:lang w:val="en-US"/>
        </w:rPr>
      </w:pPr>
      <w:r>
        <w:rPr>
          <w:lang w:val="en-US"/>
        </w:rPr>
        <w:t>Allow fast reaction for</w:t>
      </w:r>
      <w:r w:rsidR="00816A0B">
        <w:rPr>
          <w:lang w:val="en-US"/>
        </w:rPr>
        <w:t xml:space="preserve"> NC management</w:t>
      </w:r>
    </w:p>
    <w:p w:rsidR="00816A0B" w:rsidRDefault="00816A0B" w:rsidP="00816A0B">
      <w:pPr>
        <w:pStyle w:val="BodyTextIndent"/>
        <w:numPr>
          <w:ilvl w:val="0"/>
          <w:numId w:val="31"/>
        </w:numPr>
        <w:ind w:left="426"/>
        <w:rPr>
          <w:lang w:val="en-US"/>
        </w:rPr>
      </w:pPr>
      <w:r>
        <w:rPr>
          <w:lang w:val="en-US"/>
        </w:rPr>
        <w:t>Support the data transfer to MTF for trace-ability</w:t>
      </w:r>
    </w:p>
    <w:p w:rsidR="00816A0B" w:rsidRDefault="00816A0B" w:rsidP="00816A0B">
      <w:pPr>
        <w:pStyle w:val="BodyTextIndent"/>
        <w:rPr>
          <w:lang w:val="en-US"/>
        </w:rPr>
      </w:pPr>
      <w:r>
        <w:rPr>
          <w:lang w:val="en-US"/>
        </w:rPr>
        <w:t>Tests and debugging of the WISH are foreseen in August 2012. This requires an efficient (3G) internet connection all along</w:t>
      </w:r>
      <w:r w:rsidR="001D7B32">
        <w:rPr>
          <w:lang w:val="en-US"/>
        </w:rPr>
        <w:t xml:space="preserve"> LHC tunnel.</w:t>
      </w:r>
    </w:p>
    <w:p w:rsidR="001D7B32" w:rsidRDefault="00D10511" w:rsidP="00816A0B">
      <w:pPr>
        <w:pStyle w:val="BodyTextIndent"/>
        <w:rPr>
          <w:lang w:val="en-US"/>
        </w:rPr>
      </w:pPr>
      <w:r>
        <w:rPr>
          <w:lang w:val="en-US"/>
        </w:rPr>
        <w:t xml:space="preserve">220 persons are needed to accomplish this work </w:t>
      </w:r>
    </w:p>
    <w:p w:rsidR="001E2ABC" w:rsidRPr="00E52C77" w:rsidRDefault="001E2ABC" w:rsidP="00816A0B">
      <w:pPr>
        <w:pStyle w:val="BodyTextIndent"/>
        <w:rPr>
          <w:lang w:val="en-US"/>
        </w:rPr>
      </w:pPr>
    </w:p>
    <w:p w:rsidR="001F47B3" w:rsidRPr="00EA653A" w:rsidRDefault="00D10511" w:rsidP="001F47B3">
      <w:pPr>
        <w:pStyle w:val="Heading2"/>
        <w:spacing w:before="180"/>
        <w:rPr>
          <w:rFonts w:cs="Times New Roman"/>
        </w:rPr>
      </w:pPr>
      <w:r>
        <w:rPr>
          <w:rFonts w:cs="Times New Roman"/>
        </w:rPr>
        <w:t>o</w:t>
      </w:r>
      <w:r w:rsidR="0058773C">
        <w:rPr>
          <w:rFonts w:cs="Times New Roman"/>
        </w:rPr>
        <w:t>ther topic</w:t>
      </w:r>
      <w:r w:rsidR="001F47B3" w:rsidRPr="00EA653A">
        <w:rPr>
          <w:rFonts w:cs="Times New Roman"/>
        </w:rPr>
        <w:t>s</w:t>
      </w:r>
    </w:p>
    <w:p w:rsidR="00AC3A9F" w:rsidRDefault="005560E9" w:rsidP="00AC3A9F">
      <w:pPr>
        <w:pStyle w:val="Heading3"/>
        <w:rPr>
          <w:rFonts w:cs="Times New Roman"/>
          <w:kern w:val="16"/>
        </w:rPr>
      </w:pPr>
      <w:proofErr w:type="spellStart"/>
      <w:r>
        <w:rPr>
          <w:rFonts w:cs="Times New Roman"/>
          <w:kern w:val="16"/>
        </w:rPr>
        <w:t>Busbar</w:t>
      </w:r>
      <w:proofErr w:type="spellEnd"/>
      <w:r>
        <w:rPr>
          <w:rFonts w:cs="Times New Roman"/>
          <w:kern w:val="16"/>
        </w:rPr>
        <w:t xml:space="preserve"> </w:t>
      </w:r>
      <w:r w:rsidR="00AC3A9F">
        <w:rPr>
          <w:rFonts w:cs="Times New Roman"/>
          <w:kern w:val="16"/>
        </w:rPr>
        <w:t>Spider</w:t>
      </w:r>
      <w:r>
        <w:rPr>
          <w:rFonts w:cs="Times New Roman"/>
          <w:kern w:val="16"/>
        </w:rPr>
        <w:t>s</w:t>
      </w:r>
      <w:r w:rsidR="00653A37">
        <w:rPr>
          <w:rFonts w:cs="Times New Roman"/>
          <w:kern w:val="16"/>
        </w:rPr>
        <w:t xml:space="preserve"> </w:t>
      </w:r>
    </w:p>
    <w:p w:rsidR="00AC3A9F" w:rsidRPr="00AC3A9F" w:rsidRDefault="00AC3A9F" w:rsidP="00AC3A9F">
      <w:pPr>
        <w:pStyle w:val="BodyTextIndent"/>
      </w:pPr>
      <w:r>
        <w:t xml:space="preserve">A </w:t>
      </w:r>
      <w:r w:rsidR="0058773C">
        <w:t xml:space="preserve">doubt </w:t>
      </w:r>
      <w:r>
        <w:t>o</w:t>
      </w:r>
      <w:r w:rsidR="0058773C">
        <w:t>n</w:t>
      </w:r>
      <w:r>
        <w:t xml:space="preserve"> the </w:t>
      </w:r>
      <w:proofErr w:type="spellStart"/>
      <w:r w:rsidR="005560E9">
        <w:t>busbar</w:t>
      </w:r>
      <w:proofErr w:type="spellEnd"/>
      <w:r w:rsidR="005560E9">
        <w:t xml:space="preserve"> “</w:t>
      </w:r>
      <w:r>
        <w:t>spider</w:t>
      </w:r>
      <w:r w:rsidR="005560E9">
        <w:t>s”</w:t>
      </w:r>
      <w:r>
        <w:t xml:space="preserve"> was identified </w:t>
      </w:r>
      <w:r w:rsidR="005560E9">
        <w:t xml:space="preserve">by the experts </w:t>
      </w:r>
      <w:r>
        <w:t>screening</w:t>
      </w:r>
      <w:r w:rsidR="005560E9">
        <w:t xml:space="preserve"> the LHC circuits</w:t>
      </w:r>
      <w:r w:rsidR="0058773C">
        <w:t> </w:t>
      </w:r>
      <w:r w:rsidR="003A7751">
        <w:t>[6]</w:t>
      </w:r>
      <w:r>
        <w:t>. Work is on-going</w:t>
      </w:r>
      <w:r w:rsidR="003A7751">
        <w:t xml:space="preserve"> </w:t>
      </w:r>
      <w:r>
        <w:t>to possibly define a consolidation procedure</w:t>
      </w:r>
      <w:r w:rsidR="005560E9">
        <w:t xml:space="preserve"> [1]</w:t>
      </w:r>
      <w:r>
        <w:t xml:space="preserve">. The </w:t>
      </w:r>
      <w:r w:rsidR="005560E9">
        <w:t>issue will be reviewed by the LHC S</w:t>
      </w:r>
      <w:r w:rsidR="0058773C">
        <w:t>plices task f</w:t>
      </w:r>
      <w:r>
        <w:t>orce</w:t>
      </w:r>
      <w:r w:rsidR="005560E9">
        <w:t xml:space="preserve"> and a proposal made in 2012</w:t>
      </w:r>
      <w:r>
        <w:t>.</w:t>
      </w:r>
      <w:r w:rsidR="005560E9">
        <w:t xml:space="preserve"> </w:t>
      </w:r>
    </w:p>
    <w:p w:rsidR="00AC3A9F" w:rsidRDefault="00AC3A9F" w:rsidP="00AC3A9F">
      <w:pPr>
        <w:pStyle w:val="Heading3"/>
        <w:rPr>
          <w:rFonts w:cs="Times New Roman"/>
          <w:kern w:val="16"/>
        </w:rPr>
      </w:pPr>
      <w:r>
        <w:rPr>
          <w:rFonts w:cs="Times New Roman"/>
          <w:kern w:val="16"/>
        </w:rPr>
        <w:t>The diodes</w:t>
      </w:r>
    </w:p>
    <w:p w:rsidR="00AC3A9F" w:rsidRDefault="00907743" w:rsidP="00AC3A9F">
      <w:pPr>
        <w:pStyle w:val="BodyTextIndent"/>
      </w:pPr>
      <w:r>
        <w:t>High resistances were me</w:t>
      </w:r>
      <w:r w:rsidR="0058773C">
        <w:t>asured in the diodes circuits of</w:t>
      </w:r>
      <w:r>
        <w:t xml:space="preserve"> the LHC during quench propagation tests. A working group (TE-MPE &amp; TE-MSC) has conducted off-line testing of the </w:t>
      </w:r>
      <w:r w:rsidR="00034E6D">
        <w:t xml:space="preserve">diodes. Data from series production, spare diodes and diodes recovered from 34 was analysed. Instrumented diodes were tested in SM18. </w:t>
      </w:r>
    </w:p>
    <w:p w:rsidR="00034E6D" w:rsidRDefault="00034E6D" w:rsidP="00AC3A9F">
      <w:pPr>
        <w:pStyle w:val="BodyTextIndent"/>
      </w:pPr>
      <w:r>
        <w:t>The diodes behaviour observed in the LHC tunnel has been confirmed as a typical one and</w:t>
      </w:r>
      <w:r w:rsidR="00715987">
        <w:t xml:space="preserve">, even if not explained yet, is </w:t>
      </w:r>
      <w:r>
        <w:t xml:space="preserve">not </w:t>
      </w:r>
      <w:r w:rsidR="00715987">
        <w:t>considered as</w:t>
      </w:r>
      <w:r>
        <w:t xml:space="preserve"> an issue for LHC operation. It is </w:t>
      </w:r>
      <w:r w:rsidR="00715987">
        <w:t xml:space="preserve">characteristic of the diode to heat sink contact. </w:t>
      </w:r>
      <w:r>
        <w:t>Further tests are planned in SM18</w:t>
      </w:r>
      <w:r w:rsidR="00715987">
        <w:t xml:space="preserve">. </w:t>
      </w:r>
      <w:r w:rsidR="006A0774">
        <w:t xml:space="preserve">This is not a complete guarantee that all diodes can withstand a nominal current decay. There might be a few isolated cases where contact resistance is too large. </w:t>
      </w:r>
    </w:p>
    <w:p w:rsidR="00715987" w:rsidRPr="00AC3A9F" w:rsidRDefault="00715987" w:rsidP="00715987">
      <w:pPr>
        <w:pStyle w:val="BodyTextIndent"/>
      </w:pPr>
      <w:r>
        <w:t>No massive intervention is planned on the diodes during LS1. Local tests and/or inspection</w:t>
      </w:r>
      <w:r w:rsidR="003A7751">
        <w:t>s</w:t>
      </w:r>
      <w:r>
        <w:t xml:space="preserve"> are possible.</w:t>
      </w:r>
    </w:p>
    <w:p w:rsidR="00715987" w:rsidRDefault="00715987" w:rsidP="00715987">
      <w:pPr>
        <w:pStyle w:val="Heading3"/>
        <w:rPr>
          <w:rFonts w:cs="Times New Roman"/>
          <w:kern w:val="16"/>
        </w:rPr>
      </w:pPr>
      <w:r>
        <w:rPr>
          <w:rFonts w:cs="Times New Roman"/>
          <w:kern w:val="16"/>
        </w:rPr>
        <w:t>Copper Stabiliser Continuity Measurement (CSCM)</w:t>
      </w:r>
    </w:p>
    <w:p w:rsidR="00715987" w:rsidRDefault="00715987" w:rsidP="00715987">
      <w:pPr>
        <w:pStyle w:val="BodyTextIndent"/>
      </w:pPr>
      <w:r>
        <w:t>This method has been described and reviewed at several occasions [1</w:t>
      </w:r>
      <w:proofErr w:type="gramStart"/>
      <w:r>
        <w:t>,</w:t>
      </w:r>
      <w:r w:rsidR="00EE2CD4">
        <w:t>19</w:t>
      </w:r>
      <w:proofErr w:type="gramEnd"/>
      <w:r>
        <w:t>].</w:t>
      </w:r>
      <w:r w:rsidR="00FD310B">
        <w:t xml:space="preserve"> It could be used to qualify the main splices, but also other parts of 13 kA circuits, for </w:t>
      </w:r>
      <w:r w:rsidR="00AB41E4">
        <w:t>operation</w:t>
      </w:r>
      <w:r w:rsidR="0057365D">
        <w:t xml:space="preserve"> at 7 </w:t>
      </w:r>
      <w:proofErr w:type="spellStart"/>
      <w:r w:rsidR="0057365D">
        <w:t>TeV</w:t>
      </w:r>
      <w:proofErr w:type="spellEnd"/>
      <w:r w:rsidR="00AB41E4">
        <w:t xml:space="preserve">. An approval for the continuation of this project is needed. As the goal has changed since the proposal of this method, the necessary conditions have also to be reviewed and </w:t>
      </w:r>
      <w:r w:rsidR="0057365D">
        <w:t>updated. A possible planning is</w:t>
      </w:r>
      <w:r w:rsidR="00AB41E4">
        <w:t>:</w:t>
      </w:r>
    </w:p>
    <w:p w:rsidR="00AB41E4" w:rsidRDefault="00AB41E4" w:rsidP="00AB41E4">
      <w:pPr>
        <w:pStyle w:val="BodyTextIndent"/>
        <w:numPr>
          <w:ilvl w:val="0"/>
          <w:numId w:val="32"/>
        </w:numPr>
        <w:ind w:left="142" w:hanging="142"/>
      </w:pPr>
      <w:r>
        <w:t>January 2013: Type test in one se</w:t>
      </w:r>
      <w:r w:rsidR="0082204E">
        <w:t>c</w:t>
      </w:r>
      <w:r>
        <w:t>tor at the end of the physics run</w:t>
      </w:r>
    </w:p>
    <w:p w:rsidR="00AB41E4" w:rsidRPr="0082204E" w:rsidRDefault="00AB41E4" w:rsidP="0082204E">
      <w:pPr>
        <w:pStyle w:val="BodyTextIndent"/>
        <w:numPr>
          <w:ilvl w:val="0"/>
          <w:numId w:val="32"/>
        </w:numPr>
        <w:ind w:left="142" w:hanging="142"/>
      </w:pPr>
      <w:r>
        <w:t>End of LS1: campaign on the LHC to qualify main circuits for operation</w:t>
      </w:r>
      <w:r w:rsidR="0057365D">
        <w:t xml:space="preserve"> at 7 </w:t>
      </w:r>
      <w:proofErr w:type="spellStart"/>
      <w:r w:rsidR="0057365D">
        <w:t>TeV</w:t>
      </w:r>
      <w:proofErr w:type="spellEnd"/>
      <w:r>
        <w:t>.</w:t>
      </w:r>
      <w:r w:rsidR="0057365D">
        <w:t xml:space="preserve"> </w:t>
      </w:r>
      <w:r w:rsidRPr="0082204E">
        <w:rPr>
          <w:kern w:val="16"/>
        </w:rPr>
        <w:t xml:space="preserve">The impact on the schedule would be 4 weeks if the 8 sectors are tested but there could be no impact if the last one(s) are not tested. </w:t>
      </w:r>
    </w:p>
    <w:p w:rsidR="0082204E" w:rsidRDefault="0082204E" w:rsidP="0082204E">
      <w:pPr>
        <w:pStyle w:val="BodyTextIndent"/>
        <w:ind w:firstLine="170"/>
        <w:rPr>
          <w:kern w:val="16"/>
        </w:rPr>
      </w:pPr>
      <w:r>
        <w:rPr>
          <w:kern w:val="16"/>
        </w:rPr>
        <w:t>This metho</w:t>
      </w:r>
      <w:r w:rsidR="006A0774">
        <w:rPr>
          <w:kern w:val="16"/>
        </w:rPr>
        <w:t>d gives information on the highest segment resistance between voltage taps</w:t>
      </w:r>
      <w:r>
        <w:rPr>
          <w:kern w:val="16"/>
        </w:rPr>
        <w:t xml:space="preserve"> in a LHC sector</w:t>
      </w:r>
      <w:r w:rsidR="006A0774">
        <w:rPr>
          <w:kern w:val="16"/>
        </w:rPr>
        <w:t>.</w:t>
      </w:r>
      <w:r>
        <w:rPr>
          <w:kern w:val="16"/>
        </w:rPr>
        <w:t xml:space="preserve"> </w:t>
      </w:r>
      <w:r w:rsidR="006A0774">
        <w:rPr>
          <w:kern w:val="16"/>
        </w:rPr>
        <w:t>It could be</w:t>
      </w:r>
      <w:r w:rsidR="003A7751">
        <w:rPr>
          <w:kern w:val="16"/>
        </w:rPr>
        <w:t xml:space="preserve"> useful information</w:t>
      </w:r>
      <w:r>
        <w:rPr>
          <w:kern w:val="16"/>
        </w:rPr>
        <w:t xml:space="preserve">, </w:t>
      </w:r>
      <w:r w:rsidR="003A7751">
        <w:rPr>
          <w:kern w:val="16"/>
        </w:rPr>
        <w:t>especially if</w:t>
      </w:r>
      <w:r>
        <w:rPr>
          <w:kern w:val="16"/>
        </w:rPr>
        <w:t xml:space="preserve"> some splices are extremely difficult to access for consolidation (DFBA for example) and therefore are not treated</w:t>
      </w:r>
      <w:r w:rsidR="003A7751">
        <w:rPr>
          <w:kern w:val="16"/>
        </w:rPr>
        <w:t xml:space="preserve">. </w:t>
      </w:r>
      <w:r>
        <w:rPr>
          <w:kern w:val="16"/>
        </w:rPr>
        <w:t>It is also validating other parts of the bypass circuits (i.e. diodes)</w:t>
      </w:r>
    </w:p>
    <w:p w:rsidR="005F133B" w:rsidRDefault="0058773C" w:rsidP="005F133B">
      <w:pPr>
        <w:pStyle w:val="Heading3"/>
        <w:rPr>
          <w:rFonts w:cs="Times New Roman"/>
          <w:kern w:val="16"/>
        </w:rPr>
      </w:pPr>
      <w:r>
        <w:rPr>
          <w:rFonts w:cs="Times New Roman"/>
          <w:kern w:val="16"/>
        </w:rPr>
        <w:lastRenderedPageBreak/>
        <w:t>Safety and r</w:t>
      </w:r>
      <w:r w:rsidR="005F133B">
        <w:rPr>
          <w:rFonts w:cs="Times New Roman"/>
          <w:kern w:val="16"/>
        </w:rPr>
        <w:t>adioprotection</w:t>
      </w:r>
    </w:p>
    <w:p w:rsidR="005F133B" w:rsidRDefault="005F133B" w:rsidP="005F133B">
      <w:pPr>
        <w:pStyle w:val="BodyTextIndent"/>
        <w:ind w:firstLine="170"/>
      </w:pPr>
      <w:r>
        <w:t xml:space="preserve">These aspects were treated in [1]. The use of lead-containing solder </w:t>
      </w:r>
      <w:r w:rsidR="000952DF">
        <w:t>is under assessment with the TE safety officer</w:t>
      </w:r>
      <w:r>
        <w:t xml:space="preserve">. This should not be an issue. For the radioprotection, the </w:t>
      </w:r>
      <w:proofErr w:type="spellStart"/>
      <w:r>
        <w:t>workplan</w:t>
      </w:r>
      <w:proofErr w:type="spellEnd"/>
      <w:r>
        <w:t xml:space="preserve"> is:</w:t>
      </w:r>
    </w:p>
    <w:p w:rsidR="005F133B" w:rsidRDefault="005F133B" w:rsidP="002E1C21">
      <w:pPr>
        <w:pStyle w:val="BodyTextIndent"/>
        <w:numPr>
          <w:ilvl w:val="0"/>
          <w:numId w:val="34"/>
        </w:numPr>
        <w:ind w:left="142" w:hanging="142"/>
      </w:pPr>
      <w:r>
        <w:t>Continuous review of detailed estimates of radiation levels</w:t>
      </w:r>
    </w:p>
    <w:p w:rsidR="005F133B" w:rsidRDefault="005F133B" w:rsidP="002E1C21">
      <w:pPr>
        <w:pStyle w:val="BodyTextIndent"/>
        <w:numPr>
          <w:ilvl w:val="0"/>
          <w:numId w:val="34"/>
        </w:numPr>
        <w:ind w:left="142" w:hanging="142"/>
      </w:pPr>
      <w:r>
        <w:t xml:space="preserve">Verification on samples (both outside and inside </w:t>
      </w:r>
      <w:r w:rsidR="004B076D">
        <w:t>IC</w:t>
      </w:r>
      <w:r w:rsidR="0058773C">
        <w:t> </w:t>
      </w:r>
      <w:r w:rsidR="004B076D">
        <w:t>[25]</w:t>
      </w:r>
      <w:r w:rsidR="003A7751">
        <w:t>)</w:t>
      </w:r>
    </w:p>
    <w:p w:rsidR="002E1C21" w:rsidRDefault="002E1C21" w:rsidP="002E1C21">
      <w:pPr>
        <w:pStyle w:val="BodyTextIndent"/>
        <w:numPr>
          <w:ilvl w:val="0"/>
          <w:numId w:val="34"/>
        </w:numPr>
        <w:ind w:left="142" w:hanging="142"/>
      </w:pPr>
      <w:r>
        <w:t>R</w:t>
      </w:r>
      <w:r w:rsidR="0058773C">
        <w:t xml:space="preserve">adioprotection </w:t>
      </w:r>
      <w:r>
        <w:t xml:space="preserve">inspector to go with the working team at opening of the </w:t>
      </w:r>
      <w:r w:rsidR="004B076D">
        <w:t>IC</w:t>
      </w:r>
      <w:r>
        <w:t>s</w:t>
      </w:r>
    </w:p>
    <w:p w:rsidR="002E1C21" w:rsidRDefault="002E1C21" w:rsidP="005F133B">
      <w:pPr>
        <w:pStyle w:val="BodyTextIndent"/>
        <w:ind w:firstLine="170"/>
      </w:pPr>
      <w:r>
        <w:t>Some interesting points to note:</w:t>
      </w:r>
    </w:p>
    <w:p w:rsidR="002E1C21" w:rsidRDefault="002E1C21" w:rsidP="002E1C21">
      <w:pPr>
        <w:pStyle w:val="BodyTextIndent"/>
        <w:numPr>
          <w:ilvl w:val="0"/>
          <w:numId w:val="35"/>
        </w:numPr>
        <w:ind w:left="142" w:hanging="142"/>
      </w:pPr>
      <w:r>
        <w:t>The regulations impose to companies from member states and institutes to follow their own national legisla</w:t>
      </w:r>
      <w:r w:rsidR="00143394">
        <w:t xml:space="preserve">tion. For </w:t>
      </w:r>
      <w:r w:rsidR="000952DF">
        <w:t>industrial support teams</w:t>
      </w:r>
      <w:r w:rsidR="00143394">
        <w:t xml:space="preserve">, this will imply wearing two </w:t>
      </w:r>
      <w:r>
        <w:t>dosimet</w:t>
      </w:r>
      <w:r w:rsidR="00143394">
        <w:t>e</w:t>
      </w:r>
      <w:r>
        <w:t>r</w:t>
      </w:r>
      <w:r w:rsidR="00143394">
        <w:t>s: one issued by their home country and one from CERN,</w:t>
      </w:r>
      <w:r>
        <w:t xml:space="preserve"> </w:t>
      </w:r>
    </w:p>
    <w:p w:rsidR="00143394" w:rsidRDefault="00143394" w:rsidP="002E1C21">
      <w:pPr>
        <w:pStyle w:val="BodyTextIndent"/>
        <w:numPr>
          <w:ilvl w:val="0"/>
          <w:numId w:val="35"/>
        </w:numPr>
        <w:ind w:left="142" w:hanging="142"/>
      </w:pPr>
      <w:r>
        <w:t>Any material removed from the LH</w:t>
      </w:r>
      <w:r w:rsidR="008527AA">
        <w:t>C</w:t>
      </w:r>
      <w:r>
        <w:t xml:space="preserve"> tunnel will have to be traced</w:t>
      </w:r>
    </w:p>
    <w:p w:rsidR="00143394" w:rsidRDefault="00143394" w:rsidP="002E1C21">
      <w:pPr>
        <w:pStyle w:val="BodyTextIndent"/>
        <w:numPr>
          <w:ilvl w:val="0"/>
          <w:numId w:val="35"/>
        </w:numPr>
        <w:ind w:left="142" w:hanging="142"/>
      </w:pPr>
      <w:r>
        <w:t xml:space="preserve">Use of methods </w:t>
      </w:r>
      <w:r w:rsidR="00061BC3">
        <w:t>generating</w:t>
      </w:r>
      <w:r>
        <w:t xml:space="preserve"> dust or small particles should be minimised</w:t>
      </w:r>
    </w:p>
    <w:p w:rsidR="00143394" w:rsidRPr="00143394" w:rsidRDefault="00143394" w:rsidP="00143394">
      <w:pPr>
        <w:pStyle w:val="BodyTextIndent"/>
        <w:numPr>
          <w:ilvl w:val="0"/>
          <w:numId w:val="35"/>
        </w:numPr>
        <w:ind w:left="142" w:hanging="142"/>
      </w:pPr>
      <w:r>
        <w:t>SMI2, th</w:t>
      </w:r>
      <w:r w:rsidR="0058773C">
        <w:t xml:space="preserve">e exit building for removed </w:t>
      </w:r>
      <w:r>
        <w:t>magnets</w:t>
      </w:r>
      <w:r w:rsidR="008527AA">
        <w:t>, should</w:t>
      </w:r>
      <w:r>
        <w:t xml:space="preserve"> become a </w:t>
      </w:r>
      <w:r w:rsidR="008527AA">
        <w:t xml:space="preserve">supervised </w:t>
      </w:r>
      <w:r>
        <w:t>workshop</w:t>
      </w:r>
      <w:r w:rsidR="008527AA">
        <w:t xml:space="preserve"> due to the low</w:t>
      </w:r>
      <w:r w:rsidR="0058773C">
        <w:t xml:space="preserve"> expected activation of the </w:t>
      </w:r>
      <w:r w:rsidR="008527AA">
        <w:t>magnets at the time of LS1</w:t>
      </w:r>
      <w:r w:rsidR="0058773C">
        <w:t xml:space="preserve">. Storage of removed </w:t>
      </w:r>
      <w:r w:rsidR="003A7751">
        <w:t xml:space="preserve">magnets will have to obey the RP rules. </w:t>
      </w:r>
    </w:p>
    <w:p w:rsidR="00143394" w:rsidRDefault="00143394" w:rsidP="00143394">
      <w:pPr>
        <w:pStyle w:val="Heading3"/>
        <w:rPr>
          <w:rFonts w:cs="Times New Roman"/>
          <w:kern w:val="16"/>
        </w:rPr>
      </w:pPr>
      <w:r>
        <w:rPr>
          <w:rFonts w:cs="Times New Roman"/>
          <w:kern w:val="16"/>
        </w:rPr>
        <w:t>New IC thermal shield design</w:t>
      </w:r>
    </w:p>
    <w:p w:rsidR="006341C9" w:rsidRDefault="00143394" w:rsidP="00143394">
      <w:pPr>
        <w:pStyle w:val="BodyTextIndent"/>
        <w:ind w:firstLine="170"/>
      </w:pPr>
      <w:r>
        <w:t xml:space="preserve">During the 2008-09 shut-down, </w:t>
      </w:r>
      <w:r w:rsidR="00C32CD3">
        <w:t xml:space="preserve">certain drawbacks of the IC thermal shield design </w:t>
      </w:r>
      <w:r>
        <w:t xml:space="preserve">were noted: </w:t>
      </w:r>
      <w:r w:rsidR="00C32CD3">
        <w:t xml:space="preserve">notably </w:t>
      </w:r>
      <w:r>
        <w:t xml:space="preserve">blockage </w:t>
      </w:r>
      <w:r w:rsidR="00C32CD3">
        <w:t xml:space="preserve">of the shield </w:t>
      </w:r>
      <w:r>
        <w:t>and</w:t>
      </w:r>
      <w:r w:rsidR="00C32CD3">
        <w:t xml:space="preserve"> risk of MLI</w:t>
      </w:r>
      <w:r>
        <w:t xml:space="preserve"> fire during </w:t>
      </w:r>
      <w:r w:rsidR="00C32CD3">
        <w:t>welding operation</w:t>
      </w:r>
      <w:r>
        <w:t xml:space="preserve">. </w:t>
      </w:r>
      <w:r w:rsidR="00C32CD3">
        <w:t xml:space="preserve">In view of the </w:t>
      </w:r>
      <w:r>
        <w:t>heat load</w:t>
      </w:r>
      <w:r w:rsidR="00C32CD3">
        <w:t xml:space="preserve"> margin, </w:t>
      </w:r>
      <w:r>
        <w:t>a new design</w:t>
      </w:r>
      <w:r w:rsidR="00C32CD3">
        <w:t xml:space="preserve"> of the thermal shield is being studied. It reduces the number of</w:t>
      </w:r>
      <w:r>
        <w:t xml:space="preserve"> welds </w:t>
      </w:r>
      <w:r w:rsidR="00C32CD3">
        <w:t>(and</w:t>
      </w:r>
      <w:r>
        <w:t xml:space="preserve"> grindings in case of dismantling</w:t>
      </w:r>
      <w:r w:rsidR="00C32CD3">
        <w:t>)</w:t>
      </w:r>
      <w:r>
        <w:t xml:space="preserve">. After </w:t>
      </w:r>
      <w:r w:rsidR="00C32CD3">
        <w:t xml:space="preserve">further </w:t>
      </w:r>
      <w:r>
        <w:t>modelling and testing, a choice will be made</w:t>
      </w:r>
      <w:r w:rsidR="00C32CD3">
        <w:t xml:space="preserve"> in 2012</w:t>
      </w:r>
      <w:r>
        <w:t xml:space="preserve">, and </w:t>
      </w:r>
      <w:r w:rsidR="003A7751">
        <w:t xml:space="preserve">eventually </w:t>
      </w:r>
      <w:r>
        <w:t xml:space="preserve">submitted </w:t>
      </w:r>
      <w:r w:rsidR="00C32CD3">
        <w:t>f</w:t>
      </w:r>
      <w:r>
        <w:t>o</w:t>
      </w:r>
      <w:r w:rsidR="00C32CD3">
        <w:t>r</w:t>
      </w:r>
      <w:r>
        <w:t xml:space="preserve"> approval. </w:t>
      </w:r>
    </w:p>
    <w:p w:rsidR="001E2ABC" w:rsidRPr="00162CBE" w:rsidRDefault="001E2ABC" w:rsidP="00143394">
      <w:pPr>
        <w:pStyle w:val="BodyTextIndent"/>
        <w:ind w:firstLine="170"/>
        <w:rPr>
          <w:i/>
          <w:kern w:val="16"/>
        </w:rPr>
      </w:pPr>
    </w:p>
    <w:p w:rsidR="004C5D2A" w:rsidRPr="00EA653A" w:rsidRDefault="004C5D2A" w:rsidP="004C5D2A">
      <w:pPr>
        <w:pStyle w:val="Heading2"/>
        <w:spacing w:before="180"/>
        <w:rPr>
          <w:rFonts w:cs="Times New Roman"/>
        </w:rPr>
      </w:pPr>
      <w:r>
        <w:rPr>
          <w:rFonts w:cs="Times New Roman"/>
        </w:rPr>
        <w:t>conclusions</w:t>
      </w:r>
    </w:p>
    <w:p w:rsidR="005970CE" w:rsidRDefault="005970CE" w:rsidP="005970CE">
      <w:pPr>
        <w:pStyle w:val="BodyTextIndent"/>
        <w:ind w:firstLine="170"/>
        <w:rPr>
          <w:kern w:val="16"/>
        </w:rPr>
      </w:pPr>
      <w:r>
        <w:rPr>
          <w:kern w:val="16"/>
        </w:rPr>
        <w:t>Some decisions have to be taken in 2012:</w:t>
      </w:r>
    </w:p>
    <w:p w:rsidR="005970CE" w:rsidRDefault="005970CE" w:rsidP="005970CE">
      <w:pPr>
        <w:pStyle w:val="BodyTextIndent"/>
        <w:numPr>
          <w:ilvl w:val="0"/>
          <w:numId w:val="36"/>
        </w:numPr>
        <w:rPr>
          <w:kern w:val="16"/>
        </w:rPr>
      </w:pPr>
      <w:r>
        <w:rPr>
          <w:kern w:val="16"/>
        </w:rPr>
        <w:t>DFBA consolidation</w:t>
      </w:r>
    </w:p>
    <w:p w:rsidR="005970CE" w:rsidRDefault="005970CE" w:rsidP="005970CE">
      <w:pPr>
        <w:pStyle w:val="BodyTextIndent"/>
        <w:numPr>
          <w:ilvl w:val="0"/>
          <w:numId w:val="36"/>
        </w:numPr>
        <w:rPr>
          <w:kern w:val="16"/>
        </w:rPr>
      </w:pPr>
      <w:r w:rsidRPr="00EE59B6">
        <w:rPr>
          <w:kern w:val="16"/>
        </w:rPr>
        <w:t>Reinforcement of the spider insulation</w:t>
      </w:r>
    </w:p>
    <w:p w:rsidR="005970CE" w:rsidRDefault="005970CE" w:rsidP="005970CE">
      <w:pPr>
        <w:pStyle w:val="BodyTextIndent"/>
        <w:numPr>
          <w:ilvl w:val="0"/>
          <w:numId w:val="36"/>
        </w:numPr>
        <w:rPr>
          <w:kern w:val="16"/>
        </w:rPr>
      </w:pPr>
      <w:r>
        <w:rPr>
          <w:kern w:val="16"/>
        </w:rPr>
        <w:t>New IC thermal shield design</w:t>
      </w:r>
    </w:p>
    <w:p w:rsidR="005970CE" w:rsidRDefault="005970CE" w:rsidP="005970CE">
      <w:pPr>
        <w:pStyle w:val="BodyTextIndent"/>
        <w:numPr>
          <w:ilvl w:val="0"/>
          <w:numId w:val="36"/>
        </w:numPr>
        <w:rPr>
          <w:kern w:val="16"/>
        </w:rPr>
      </w:pPr>
      <w:r>
        <w:rPr>
          <w:kern w:val="16"/>
        </w:rPr>
        <w:t>Known circuits non-conformities</w:t>
      </w:r>
    </w:p>
    <w:p w:rsidR="005970CE" w:rsidRDefault="005970CE" w:rsidP="005970CE">
      <w:pPr>
        <w:pStyle w:val="BodyTextIndent"/>
        <w:numPr>
          <w:ilvl w:val="0"/>
          <w:numId w:val="36"/>
        </w:numPr>
        <w:rPr>
          <w:kern w:val="16"/>
        </w:rPr>
      </w:pPr>
      <w:proofErr w:type="spellStart"/>
      <w:r>
        <w:rPr>
          <w:kern w:val="16"/>
        </w:rPr>
        <w:t>Undulator</w:t>
      </w:r>
      <w:proofErr w:type="spellEnd"/>
      <w:r>
        <w:rPr>
          <w:kern w:val="16"/>
        </w:rPr>
        <w:t xml:space="preserve"> replacement</w:t>
      </w:r>
    </w:p>
    <w:p w:rsidR="005970CE" w:rsidRDefault="005970CE" w:rsidP="005970CE">
      <w:pPr>
        <w:pStyle w:val="BodyTextIndent"/>
        <w:numPr>
          <w:ilvl w:val="0"/>
          <w:numId w:val="36"/>
        </w:numPr>
        <w:rPr>
          <w:kern w:val="16"/>
        </w:rPr>
      </w:pPr>
      <w:r>
        <w:rPr>
          <w:kern w:val="16"/>
        </w:rPr>
        <w:t>CSCM</w:t>
      </w:r>
    </w:p>
    <w:p w:rsidR="005970CE" w:rsidRDefault="005970CE" w:rsidP="005970CE">
      <w:pPr>
        <w:pStyle w:val="BodyTextIndent"/>
        <w:numPr>
          <w:ilvl w:val="0"/>
          <w:numId w:val="36"/>
        </w:numPr>
        <w:rPr>
          <w:kern w:val="16"/>
        </w:rPr>
      </w:pPr>
      <w:r>
        <w:rPr>
          <w:kern w:val="16"/>
        </w:rPr>
        <w:t>Diodes</w:t>
      </w:r>
    </w:p>
    <w:p w:rsidR="005970CE" w:rsidRDefault="005970CE" w:rsidP="005970CE">
      <w:pPr>
        <w:pStyle w:val="BodyTextIndent"/>
        <w:numPr>
          <w:ilvl w:val="0"/>
          <w:numId w:val="36"/>
        </w:numPr>
        <w:rPr>
          <w:kern w:val="16"/>
        </w:rPr>
      </w:pPr>
      <w:r>
        <w:rPr>
          <w:kern w:val="16"/>
        </w:rPr>
        <w:t>...and all what will appear.</w:t>
      </w:r>
    </w:p>
    <w:p w:rsidR="000A4EE3" w:rsidRPr="000A4EE3" w:rsidRDefault="000A4EE3" w:rsidP="000A4EE3">
      <w:pPr>
        <w:pStyle w:val="BodyTextIndent"/>
        <w:ind w:firstLine="170"/>
        <w:rPr>
          <w:kern w:val="16"/>
        </w:rPr>
      </w:pPr>
      <w:r w:rsidRPr="000A4EE3">
        <w:rPr>
          <w:kern w:val="16"/>
        </w:rPr>
        <w:t xml:space="preserve">The consolidation of LHC superconducting magnets and circuits has been reviewed by an international committee of experts in the LHC </w:t>
      </w:r>
      <w:r>
        <w:rPr>
          <w:kern w:val="16"/>
        </w:rPr>
        <w:t>s</w:t>
      </w:r>
      <w:r w:rsidRPr="000A4EE3">
        <w:rPr>
          <w:kern w:val="16"/>
        </w:rPr>
        <w:t xml:space="preserve">plice </w:t>
      </w:r>
      <w:r>
        <w:rPr>
          <w:kern w:val="16"/>
        </w:rPr>
        <w:t>r</w:t>
      </w:r>
      <w:r w:rsidRPr="000A4EE3">
        <w:rPr>
          <w:kern w:val="16"/>
        </w:rPr>
        <w:t>eview in November 2011. The fina</w:t>
      </w:r>
      <w:r>
        <w:rPr>
          <w:kern w:val="16"/>
        </w:rPr>
        <w:t>l design of the consolidated 13 </w:t>
      </w:r>
      <w:r w:rsidRPr="000A4EE3">
        <w:rPr>
          <w:kern w:val="16"/>
        </w:rPr>
        <w:t xml:space="preserve">kA </w:t>
      </w:r>
      <w:proofErr w:type="spellStart"/>
      <w:r w:rsidRPr="000A4EE3">
        <w:rPr>
          <w:kern w:val="16"/>
        </w:rPr>
        <w:t>busbar</w:t>
      </w:r>
      <w:proofErr w:type="spellEnd"/>
      <w:r w:rsidRPr="000A4EE3">
        <w:rPr>
          <w:kern w:val="16"/>
        </w:rPr>
        <w:t xml:space="preserve"> splice meets all the requirements and reco</w:t>
      </w:r>
      <w:r>
        <w:rPr>
          <w:kern w:val="16"/>
        </w:rPr>
        <w:t>mmendations of the r</w:t>
      </w:r>
      <w:r w:rsidRPr="000A4EE3">
        <w:rPr>
          <w:kern w:val="16"/>
        </w:rPr>
        <w:t>eview and is now being prepared for production.</w:t>
      </w:r>
    </w:p>
    <w:p w:rsidR="000A4EE3" w:rsidRDefault="000A4EE3" w:rsidP="000A4EE3">
      <w:pPr>
        <w:pStyle w:val="BodyTextIndent"/>
        <w:ind w:firstLine="170"/>
        <w:rPr>
          <w:kern w:val="16"/>
        </w:rPr>
      </w:pPr>
      <w:r w:rsidRPr="000A4EE3">
        <w:rPr>
          <w:kern w:val="16"/>
        </w:rPr>
        <w:t xml:space="preserve">The replacement of magnets and consolidation of the main splices are the two major priorities of LS1, and are estimated to require 14 months each and a combined effort of 220 FTE, of which about 40 have still to be </w:t>
      </w:r>
      <w:r w:rsidRPr="000A4EE3">
        <w:rPr>
          <w:kern w:val="16"/>
        </w:rPr>
        <w:lastRenderedPageBreak/>
        <w:t>identified. 2012 will be the key year for the preparation for these activities, especially the training of the new staff joining the experienced teams. T</w:t>
      </w:r>
      <w:r>
        <w:rPr>
          <w:kern w:val="16"/>
        </w:rPr>
        <w:t>he planned production rate of 53 IC/week</w:t>
      </w:r>
      <w:r w:rsidRPr="000A4EE3">
        <w:rPr>
          <w:kern w:val="16"/>
        </w:rPr>
        <w:t xml:space="preserve"> is very ambitious, with a minimal contingency in resources and schedule.</w:t>
      </w:r>
    </w:p>
    <w:p w:rsidR="000A4EE3" w:rsidRDefault="000A4EE3" w:rsidP="000A4EE3">
      <w:pPr>
        <w:pStyle w:val="BodyTextIndent"/>
        <w:ind w:firstLine="170"/>
        <w:rPr>
          <w:kern w:val="16"/>
        </w:rPr>
      </w:pPr>
    </w:p>
    <w:p w:rsidR="007F7B57" w:rsidRPr="00EA653A" w:rsidRDefault="007F7B57" w:rsidP="001E2ABC">
      <w:pPr>
        <w:pStyle w:val="BodyTextIndent"/>
        <w:keepNext/>
        <w:spacing w:before="120" w:after="60"/>
        <w:jc w:val="center"/>
        <w:rPr>
          <w:b/>
          <w:bCs/>
          <w:iCs/>
          <w:caps/>
          <w:kern w:val="16"/>
          <w:sz w:val="24"/>
          <w:szCs w:val="28"/>
        </w:rPr>
      </w:pPr>
      <w:r w:rsidRPr="00EA653A">
        <w:rPr>
          <w:b/>
          <w:bCs/>
          <w:iCs/>
          <w:caps/>
          <w:kern w:val="16"/>
          <w:sz w:val="24"/>
          <w:szCs w:val="28"/>
        </w:rPr>
        <w:t>ACKNOWLEDGMENTS</w:t>
      </w:r>
    </w:p>
    <w:p w:rsidR="007F7B57" w:rsidRDefault="00834998" w:rsidP="00F64009">
      <w:pPr>
        <w:pStyle w:val="BodyTextIndent"/>
        <w:ind w:firstLine="170"/>
      </w:pPr>
      <w:r w:rsidRPr="00EA653A">
        <w:t>The author would like to thank m</w:t>
      </w:r>
      <w:r w:rsidR="009C766B" w:rsidRPr="00EA653A">
        <w:t>any CERN</w:t>
      </w:r>
      <w:r w:rsidRPr="00EA653A">
        <w:t xml:space="preserve"> colleagues for </w:t>
      </w:r>
      <w:r w:rsidR="00F64009">
        <w:t xml:space="preserve">their </w:t>
      </w:r>
      <w:r w:rsidR="00714815">
        <w:t>input</w:t>
      </w:r>
      <w:r w:rsidR="00F64009">
        <w:t xml:space="preserve">s, in particular </w:t>
      </w:r>
      <w:r w:rsidR="002C6936">
        <w:t xml:space="preserve">F Bertinelli who lead the project up to June 2011, </w:t>
      </w:r>
      <w:r w:rsidR="00A37943">
        <w:t>C</w:t>
      </w:r>
      <w:r w:rsidR="00087419">
        <w:t>.</w:t>
      </w:r>
      <w:r w:rsidR="00A37943">
        <w:t xml:space="preserve"> Adorisio, </w:t>
      </w:r>
      <w:r w:rsidR="00B94A67">
        <w:t>S</w:t>
      </w:r>
      <w:r w:rsidR="00087419">
        <w:t>.</w:t>
      </w:r>
      <w:r w:rsidR="00A37943">
        <w:t xml:space="preserve"> </w:t>
      </w:r>
      <w:r w:rsidR="00B94A67">
        <w:t xml:space="preserve">Atieh, </w:t>
      </w:r>
      <w:r w:rsidR="001576B0">
        <w:t>M</w:t>
      </w:r>
      <w:r w:rsidR="00087419">
        <w:t>.</w:t>
      </w:r>
      <w:r w:rsidR="001576B0">
        <w:t xml:space="preserve"> Bajko, F</w:t>
      </w:r>
      <w:r w:rsidR="00087419">
        <w:t>.</w:t>
      </w:r>
      <w:r w:rsidR="001576B0">
        <w:t> </w:t>
      </w:r>
      <w:r w:rsidR="00B94A67">
        <w:t>Bordry, L</w:t>
      </w:r>
      <w:r w:rsidR="00087419">
        <w:t>.</w:t>
      </w:r>
      <w:r w:rsidR="00B94A67">
        <w:t xml:space="preserve"> Bottura, </w:t>
      </w:r>
      <w:r w:rsidR="00A37943">
        <w:t>N</w:t>
      </w:r>
      <w:r w:rsidR="00087419">
        <w:t>.</w:t>
      </w:r>
      <w:r w:rsidR="00A37943">
        <w:t xml:space="preserve"> Bourcey, </w:t>
      </w:r>
      <w:r w:rsidR="00B94A67">
        <w:t>N</w:t>
      </w:r>
      <w:r w:rsidR="00087419">
        <w:t>.</w:t>
      </w:r>
      <w:r w:rsidR="00B94A67">
        <w:t xml:space="preserve"> Catalan, </w:t>
      </w:r>
      <w:r w:rsidR="00A37943">
        <w:t>Z</w:t>
      </w:r>
      <w:r w:rsidR="00087419">
        <w:t>.</w:t>
      </w:r>
      <w:r w:rsidR="003A7751">
        <w:t> </w:t>
      </w:r>
      <w:r w:rsidR="00A37943">
        <w:t xml:space="preserve">Charifoulline, </w:t>
      </w:r>
      <w:r w:rsidR="00B94A67">
        <w:t>S</w:t>
      </w:r>
      <w:r w:rsidR="00087419">
        <w:t>.</w:t>
      </w:r>
      <w:r w:rsidR="00B94A67">
        <w:t xml:space="preserve"> Claudet, P</w:t>
      </w:r>
      <w:r w:rsidR="00087419">
        <w:t>.</w:t>
      </w:r>
      <w:r w:rsidR="00B94A67">
        <w:t xml:space="preserve"> Cruikshank, K</w:t>
      </w:r>
      <w:r w:rsidR="00087419">
        <w:t>.</w:t>
      </w:r>
      <w:r w:rsidR="00B94A67">
        <w:t xml:space="preserve"> </w:t>
      </w:r>
      <w:proofErr w:type="spellStart"/>
      <w:r w:rsidR="00B94A67">
        <w:t>Dahlerup</w:t>
      </w:r>
      <w:proofErr w:type="spellEnd"/>
      <w:r w:rsidR="00B94A67">
        <w:t xml:space="preserve">, </w:t>
      </w:r>
      <w:r w:rsidR="0057365D">
        <w:t>G</w:t>
      </w:r>
      <w:r w:rsidR="00087419">
        <w:t>.</w:t>
      </w:r>
      <w:r w:rsidR="0057365D">
        <w:t> </w:t>
      </w:r>
      <w:r w:rsidR="003A7751">
        <w:t>D’Angelo</w:t>
      </w:r>
      <w:r w:rsidR="0057365D">
        <w:t>;</w:t>
      </w:r>
      <w:r w:rsidR="003A7751">
        <w:t xml:space="preserve"> </w:t>
      </w:r>
      <w:r w:rsidR="00B94A67">
        <w:t>R</w:t>
      </w:r>
      <w:r w:rsidR="00087419">
        <w:t>.</w:t>
      </w:r>
      <w:r w:rsidR="00B94A67">
        <w:t xml:space="preserve"> Denz, P</w:t>
      </w:r>
      <w:r w:rsidR="00087419">
        <w:t>.</w:t>
      </w:r>
      <w:r w:rsidR="003A7751">
        <w:t xml:space="preserve"> Fessia, K</w:t>
      </w:r>
      <w:r w:rsidR="00087419">
        <w:t>.</w:t>
      </w:r>
      <w:r w:rsidR="003A7751">
        <w:t xml:space="preserve"> Foraz, C</w:t>
      </w:r>
      <w:r w:rsidR="00087419">
        <w:t>.</w:t>
      </w:r>
      <w:r w:rsidR="003A7751">
        <w:t xml:space="preserve"> Garion, M</w:t>
      </w:r>
      <w:r w:rsidR="00087419">
        <w:t>.</w:t>
      </w:r>
      <w:r w:rsidR="003A7751">
        <w:t> </w:t>
      </w:r>
      <w:r w:rsidR="00B94A67">
        <w:t>Giovannozzi, S</w:t>
      </w:r>
      <w:r w:rsidR="00087419">
        <w:t>.</w:t>
      </w:r>
      <w:r w:rsidR="00B94A67">
        <w:t xml:space="preserve"> Iz</w:t>
      </w:r>
      <w:r w:rsidR="003A7751">
        <w:t>quierdo Bermudez, M</w:t>
      </w:r>
      <w:r w:rsidR="00087419">
        <w:t>.</w:t>
      </w:r>
      <w:r w:rsidR="003A7751">
        <w:t xml:space="preserve"> Jimenez, F</w:t>
      </w:r>
      <w:r w:rsidR="00087419">
        <w:t>.</w:t>
      </w:r>
      <w:r w:rsidR="003A7751">
        <w:t> </w:t>
      </w:r>
      <w:r w:rsidR="00B94A67">
        <w:t>Lackner, R</w:t>
      </w:r>
      <w:r w:rsidR="00087419">
        <w:t>.</w:t>
      </w:r>
      <w:r w:rsidR="00B94A67">
        <w:t xml:space="preserve"> Lopez, R</w:t>
      </w:r>
      <w:r w:rsidR="00087419">
        <w:t>.</w:t>
      </w:r>
      <w:r w:rsidR="00B94A67">
        <w:t xml:space="preserve"> Mompo, A</w:t>
      </w:r>
      <w:r w:rsidR="00087419">
        <w:t>.</w:t>
      </w:r>
      <w:r w:rsidR="00B94A67">
        <w:t xml:space="preserve"> M</w:t>
      </w:r>
      <w:r w:rsidR="003A7751">
        <w:t>usso, R</w:t>
      </w:r>
      <w:r w:rsidR="00087419">
        <w:t>.</w:t>
      </w:r>
      <w:r w:rsidR="003A7751">
        <w:t xml:space="preserve"> Ostojic, V</w:t>
      </w:r>
      <w:r w:rsidR="00087419">
        <w:t>.</w:t>
      </w:r>
      <w:r w:rsidR="003A7751">
        <w:t> </w:t>
      </w:r>
      <w:r w:rsidR="00B94A67">
        <w:t>Parma, J</w:t>
      </w:r>
      <w:r w:rsidR="00087419">
        <w:t>.</w:t>
      </w:r>
      <w:r w:rsidR="00B94A67">
        <w:t xml:space="preserve"> Pereira Lopes</w:t>
      </w:r>
      <w:r w:rsidR="003A7751">
        <w:t>, J</w:t>
      </w:r>
      <w:r w:rsidR="00087419">
        <w:t>.</w:t>
      </w:r>
      <w:r w:rsidR="003A7751">
        <w:t>C</w:t>
      </w:r>
      <w:r w:rsidR="00087419">
        <w:t>.</w:t>
      </w:r>
      <w:r w:rsidR="003A7751">
        <w:t xml:space="preserve"> Perez, A</w:t>
      </w:r>
      <w:r w:rsidR="00087419">
        <w:t>.</w:t>
      </w:r>
      <w:r w:rsidR="003A7751">
        <w:t xml:space="preserve"> Perin, M</w:t>
      </w:r>
      <w:r w:rsidR="00087419">
        <w:t>.</w:t>
      </w:r>
      <w:r w:rsidR="003A7751">
        <w:t xml:space="preserve"> Pojer, H</w:t>
      </w:r>
      <w:r w:rsidR="00087419">
        <w:t>.</w:t>
      </w:r>
      <w:r w:rsidR="003A7751">
        <w:t> </w:t>
      </w:r>
      <w:r w:rsidR="00B94A67">
        <w:t>Prin, R</w:t>
      </w:r>
      <w:r w:rsidR="00087419">
        <w:t>.</w:t>
      </w:r>
      <w:r w:rsidR="00B94A67">
        <w:t xml:space="preserve"> Principe, </w:t>
      </w:r>
      <w:r w:rsidR="00A37943">
        <w:t>S</w:t>
      </w:r>
      <w:r w:rsidR="00087419">
        <w:t>.</w:t>
      </w:r>
      <w:r w:rsidR="00A37943">
        <w:t xml:space="preserve"> Roesler, </w:t>
      </w:r>
      <w:r w:rsidR="00B94A67">
        <w:t>F</w:t>
      </w:r>
      <w:r w:rsidR="00087419">
        <w:t>.</w:t>
      </w:r>
      <w:r w:rsidR="00B94A67">
        <w:t xml:space="preserve"> Savary, C</w:t>
      </w:r>
      <w:r w:rsidR="00087419">
        <w:t>. </w:t>
      </w:r>
      <w:r w:rsidR="00B94A67">
        <w:t xml:space="preserve">Scheuerlein, </w:t>
      </w:r>
      <w:r w:rsidR="003A7751">
        <w:t>R</w:t>
      </w:r>
      <w:r w:rsidR="00087419">
        <w:t>.</w:t>
      </w:r>
      <w:r w:rsidR="003A7751">
        <w:t> </w:t>
      </w:r>
      <w:r w:rsidR="00A37943">
        <w:t xml:space="preserve">Schmidt, </w:t>
      </w:r>
      <w:r w:rsidR="00B94A67">
        <w:t>A</w:t>
      </w:r>
      <w:r w:rsidR="00087419">
        <w:t>.</w:t>
      </w:r>
      <w:r w:rsidR="00B94A67">
        <w:t xml:space="preserve"> Siemko, L</w:t>
      </w:r>
      <w:r w:rsidR="00087419">
        <w:t>.</w:t>
      </w:r>
      <w:r w:rsidR="00B94A67">
        <w:t xml:space="preserve"> Tavian, H</w:t>
      </w:r>
      <w:r w:rsidR="00087419">
        <w:t>.</w:t>
      </w:r>
      <w:r w:rsidR="00B94A67">
        <w:t xml:space="preserve"> Ten Kate, </w:t>
      </w:r>
      <w:r w:rsidR="00A37943">
        <w:t>H</w:t>
      </w:r>
      <w:r w:rsidR="00087419">
        <w:t>.</w:t>
      </w:r>
      <w:r w:rsidR="00A37943">
        <w:t xml:space="preserve"> Thiesen, </w:t>
      </w:r>
      <w:r w:rsidR="00B94A67">
        <w:t>A</w:t>
      </w:r>
      <w:r w:rsidR="00087419">
        <w:t>.</w:t>
      </w:r>
      <w:r w:rsidR="00B94A67">
        <w:t xml:space="preserve"> Vande Craen, A</w:t>
      </w:r>
      <w:r w:rsidR="00087419">
        <w:t>.</w:t>
      </w:r>
      <w:r w:rsidR="00B94A67">
        <w:t xml:space="preserve"> Verweij</w:t>
      </w:r>
      <w:r w:rsidR="00F64009">
        <w:t xml:space="preserve"> </w:t>
      </w:r>
      <w:r w:rsidR="00B94A67">
        <w:t>and all the participants</w:t>
      </w:r>
      <w:r w:rsidR="00A37943">
        <w:t xml:space="preserve"> to the LHC splices Task Force and the diodes Working Group</w:t>
      </w:r>
    </w:p>
    <w:p w:rsidR="00A37943" w:rsidRPr="00EA653A" w:rsidRDefault="00A37943" w:rsidP="00F64009">
      <w:pPr>
        <w:pStyle w:val="BodyTextIndent"/>
        <w:ind w:firstLine="170"/>
      </w:pPr>
    </w:p>
    <w:p w:rsidR="009D1438" w:rsidRPr="00EA653A" w:rsidRDefault="009D1438" w:rsidP="007A6822">
      <w:pPr>
        <w:pStyle w:val="Heading2"/>
        <w:spacing w:before="120"/>
        <w:rPr>
          <w:rFonts w:cs="Times New Roman"/>
        </w:rPr>
      </w:pPr>
      <w:r w:rsidRPr="00EA653A">
        <w:rPr>
          <w:rFonts w:cs="Times New Roman"/>
        </w:rPr>
        <w:t>References</w:t>
      </w:r>
    </w:p>
    <w:p w:rsidR="00CB1F27" w:rsidRPr="00CB1F27" w:rsidRDefault="006B3F1A" w:rsidP="00D10511">
      <w:pPr>
        <w:pStyle w:val="ReferenceText"/>
      </w:pPr>
      <w:r w:rsidRPr="00AD538F">
        <w:rPr>
          <w:szCs w:val="20"/>
          <w:lang w:val="en-US"/>
        </w:rPr>
        <w:t>[1]</w:t>
      </w:r>
      <w:r w:rsidR="00CB1F27">
        <w:rPr>
          <w:szCs w:val="20"/>
          <w:lang w:val="en-US"/>
        </w:rPr>
        <w:tab/>
        <w:t xml:space="preserve">Second LHC splices review, November 2011 </w:t>
      </w:r>
      <w:r w:rsidR="00CB1F27" w:rsidRPr="00CB1F27">
        <w:rPr>
          <w:lang w:val="en-US"/>
        </w:rPr>
        <w:t>https://indico.cern.ch/conferenceDisplay.py?confId=157231</w:t>
      </w:r>
    </w:p>
    <w:p w:rsidR="00D542AC" w:rsidRDefault="009D1438" w:rsidP="00D10511">
      <w:pPr>
        <w:pStyle w:val="ReferenceText"/>
        <w:rPr>
          <w:lang w:val="en-US"/>
        </w:rPr>
      </w:pPr>
      <w:r w:rsidRPr="00AD538F">
        <w:rPr>
          <w:szCs w:val="20"/>
          <w:lang w:val="en-US"/>
        </w:rPr>
        <w:t>[</w:t>
      </w:r>
      <w:r w:rsidR="006B3F1A">
        <w:rPr>
          <w:szCs w:val="20"/>
          <w:lang w:val="en-US"/>
        </w:rPr>
        <w:t>2</w:t>
      </w:r>
      <w:r w:rsidRPr="00AD538F">
        <w:rPr>
          <w:szCs w:val="20"/>
          <w:lang w:val="en-US"/>
        </w:rPr>
        <w:t>]</w:t>
      </w:r>
      <w:r w:rsidR="00BC6C9C" w:rsidRPr="00EA653A">
        <w:rPr>
          <w:lang w:val="en-US"/>
        </w:rPr>
        <w:tab/>
      </w:r>
      <w:r w:rsidR="00D542AC">
        <w:rPr>
          <w:lang w:val="en-US"/>
        </w:rPr>
        <w:t>Specification for the consolidation of the LHC 13 kA interconnections in the continuous cryostat, EDMS 1171853, P. Fessia</w:t>
      </w:r>
    </w:p>
    <w:p w:rsidR="00D542AC" w:rsidRPr="00715987" w:rsidRDefault="006B3F1A" w:rsidP="00D10511">
      <w:pPr>
        <w:pStyle w:val="ReferenceText"/>
      </w:pPr>
      <w:r>
        <w:rPr>
          <w:lang w:val="en-US"/>
        </w:rPr>
        <w:t>[3</w:t>
      </w:r>
      <w:r w:rsidR="00824A71" w:rsidRPr="00EA653A">
        <w:rPr>
          <w:lang w:val="en-US"/>
        </w:rPr>
        <w:t>]</w:t>
      </w:r>
      <w:r w:rsidR="00824A71" w:rsidRPr="00EA653A">
        <w:rPr>
          <w:lang w:val="en-US"/>
        </w:rPr>
        <w:tab/>
      </w:r>
      <w:r w:rsidR="00D542AC">
        <w:rPr>
          <w:lang w:val="en-US"/>
        </w:rPr>
        <w:t xml:space="preserve">Task Force LHC Splices Consolidation </w:t>
      </w:r>
      <w:hyperlink r:id="rId11" w:history="1">
        <w:r w:rsidR="00D542AC" w:rsidRPr="007E50C6">
          <w:rPr>
            <w:rStyle w:val="Hyperlink"/>
            <w:lang w:val="en-US"/>
          </w:rPr>
          <w:t>https://espace.cern.ch/lhcsplices/default.aspx</w:t>
        </w:r>
      </w:hyperlink>
    </w:p>
    <w:p w:rsidR="002B0F6E" w:rsidRDefault="006B3F1A" w:rsidP="00D10511">
      <w:pPr>
        <w:pStyle w:val="ReferenceText"/>
        <w:rPr>
          <w:lang w:val="en-US"/>
        </w:rPr>
      </w:pPr>
      <w:r>
        <w:rPr>
          <w:lang w:val="en-US"/>
        </w:rPr>
        <w:t>[4</w:t>
      </w:r>
      <w:r w:rsidR="00881BAC" w:rsidRPr="00EA653A">
        <w:rPr>
          <w:lang w:val="en-US"/>
        </w:rPr>
        <w:t>]</w:t>
      </w:r>
      <w:r w:rsidR="00881BAC" w:rsidRPr="00EA653A">
        <w:rPr>
          <w:lang w:val="en-US"/>
        </w:rPr>
        <w:tab/>
      </w:r>
      <w:r w:rsidR="002B0F6E" w:rsidRPr="002B0F6E">
        <w:rPr>
          <w:lang w:val="en-BZ"/>
        </w:rPr>
        <w:t>QPS upgrade and machine protection during LS1</w:t>
      </w:r>
      <w:r w:rsidR="002B0F6E">
        <w:rPr>
          <w:lang w:val="en-BZ"/>
        </w:rPr>
        <w:t>, These proceedings, R Denz</w:t>
      </w:r>
    </w:p>
    <w:p w:rsidR="002B0F6E" w:rsidRDefault="006B3F1A" w:rsidP="00A37943">
      <w:pPr>
        <w:pStyle w:val="ReferenceText"/>
        <w:rPr>
          <w:lang w:val="en-US"/>
        </w:rPr>
      </w:pPr>
      <w:r>
        <w:rPr>
          <w:lang w:val="en-US"/>
        </w:rPr>
        <w:t>[5</w:t>
      </w:r>
      <w:r w:rsidR="000E0FF2">
        <w:rPr>
          <w:lang w:val="en-US"/>
        </w:rPr>
        <w:t>]</w:t>
      </w:r>
      <w:r w:rsidR="000E0FF2">
        <w:rPr>
          <w:lang w:val="en-US"/>
        </w:rPr>
        <w:tab/>
      </w:r>
      <w:r w:rsidR="00A37943" w:rsidRPr="00A37943">
        <w:rPr>
          <w:lang w:val="en-US"/>
        </w:rPr>
        <w:t>Minutes of meeting held on 23 November 2011 on</w:t>
      </w:r>
      <w:r w:rsidR="00A37943">
        <w:rPr>
          <w:lang w:val="en-US"/>
        </w:rPr>
        <w:t xml:space="preserve"> </w:t>
      </w:r>
      <w:r w:rsidR="00A37943" w:rsidRPr="00A37943">
        <w:rPr>
          <w:lang w:val="en-US"/>
        </w:rPr>
        <w:t>consolidation of the 13 kA splices in the DFBAs</w:t>
      </w:r>
      <w:r w:rsidR="002B0F6E">
        <w:rPr>
          <w:lang w:val="en-US"/>
        </w:rPr>
        <w:t xml:space="preserve">, EDMS 1173236, </w:t>
      </w:r>
      <w:proofErr w:type="gramStart"/>
      <w:r w:rsidR="002B0F6E">
        <w:rPr>
          <w:lang w:val="en-US"/>
        </w:rPr>
        <w:t>A</w:t>
      </w:r>
      <w:proofErr w:type="gramEnd"/>
      <w:r w:rsidR="002B0F6E">
        <w:rPr>
          <w:lang w:val="en-US"/>
        </w:rPr>
        <w:t xml:space="preserve"> Perin</w:t>
      </w:r>
    </w:p>
    <w:p w:rsidR="00DB02D5" w:rsidRDefault="006B3F1A" w:rsidP="00D10511">
      <w:pPr>
        <w:pStyle w:val="ReferenceText"/>
        <w:rPr>
          <w:lang w:val="en-US"/>
        </w:rPr>
      </w:pPr>
      <w:r>
        <w:rPr>
          <w:lang w:val="en-US"/>
        </w:rPr>
        <w:t>[6</w:t>
      </w:r>
      <w:r w:rsidR="00A1578E" w:rsidRPr="00EA653A">
        <w:rPr>
          <w:lang w:val="en-US"/>
        </w:rPr>
        <w:t>]</w:t>
      </w:r>
      <w:r w:rsidR="00A1578E" w:rsidRPr="00EA653A">
        <w:rPr>
          <w:lang w:val="en-US"/>
        </w:rPr>
        <w:tab/>
      </w:r>
      <w:r w:rsidR="00A37943" w:rsidRPr="00A37943">
        <w:rPr>
          <w:lang w:val="en-US"/>
        </w:rPr>
        <w:t>Screening for Defects in the LHC Magnets Electrical Circuits</w:t>
      </w:r>
      <w:r w:rsidR="00A37943">
        <w:rPr>
          <w:lang w:val="en-US"/>
        </w:rPr>
        <w:t xml:space="preserve"> </w:t>
      </w:r>
      <w:r w:rsidR="00A37943" w:rsidRPr="00A37943">
        <w:rPr>
          <w:lang w:val="en-US"/>
        </w:rPr>
        <w:t>(Mar2010-Jun2011), Final Report, Conclusions and Recommendations</w:t>
      </w:r>
      <w:r w:rsidR="00DB02D5">
        <w:rPr>
          <w:lang w:val="en-US"/>
        </w:rPr>
        <w:t>, EDMS 1176186, H Ten Kate</w:t>
      </w:r>
    </w:p>
    <w:p w:rsidR="002F36AF" w:rsidRDefault="006B3F1A" w:rsidP="00D10511">
      <w:pPr>
        <w:pStyle w:val="ReferenceText"/>
        <w:rPr>
          <w:lang w:val="en-US"/>
        </w:rPr>
      </w:pPr>
      <w:r>
        <w:rPr>
          <w:lang w:val="en-US"/>
        </w:rPr>
        <w:t>[7</w:t>
      </w:r>
      <w:r w:rsidR="00456EEE" w:rsidRPr="00EA653A">
        <w:rPr>
          <w:lang w:val="en-US"/>
        </w:rPr>
        <w:t>]</w:t>
      </w:r>
      <w:r w:rsidR="00456EEE" w:rsidRPr="00EA653A">
        <w:rPr>
          <w:lang w:val="en-US"/>
        </w:rPr>
        <w:tab/>
      </w:r>
      <w:proofErr w:type="spellStart"/>
      <w:r w:rsidR="002F36AF" w:rsidRPr="002F36AF">
        <w:t>Cryomagnets</w:t>
      </w:r>
      <w:proofErr w:type="spellEnd"/>
      <w:r w:rsidR="002F36AF" w:rsidRPr="002F36AF">
        <w:t>, Interconnections, Superconducting Circuits: What to do in 2012/13 if you are not consolidating splices</w:t>
      </w:r>
      <w:proofErr w:type="gramStart"/>
      <w:r w:rsidR="002F36AF" w:rsidRPr="002F36AF">
        <w:t>?</w:t>
      </w:r>
      <w:r w:rsidR="002F36AF">
        <w:t>,</w:t>
      </w:r>
      <w:proofErr w:type="gramEnd"/>
      <w:r w:rsidR="002F36AF">
        <w:t xml:space="preserve"> Chamonix 2011</w:t>
      </w:r>
      <w:r w:rsidR="00F14C84">
        <w:t xml:space="preserve">, </w:t>
      </w:r>
      <w:hyperlink r:id="rId12" w:history="1">
        <w:r w:rsidR="00F14C84" w:rsidRPr="00A125FD">
          <w:rPr>
            <w:rStyle w:val="Hyperlink"/>
          </w:rPr>
          <w:t>http://indico.cern.ch/conferenceOtherViews.py?view=standard&amp;confId=103957</w:t>
        </w:r>
      </w:hyperlink>
      <w:r w:rsidR="002F36AF">
        <w:t xml:space="preserve">, </w:t>
      </w:r>
      <w:proofErr w:type="spellStart"/>
      <w:r w:rsidR="002F36AF">
        <w:t>J.Ph</w:t>
      </w:r>
      <w:proofErr w:type="spellEnd"/>
      <w:r w:rsidR="002F36AF">
        <w:t>. Tock</w:t>
      </w:r>
    </w:p>
    <w:p w:rsidR="00F14C84" w:rsidRPr="00F14C84" w:rsidRDefault="00881BAC" w:rsidP="00D10511">
      <w:pPr>
        <w:pStyle w:val="ReferenceText"/>
      </w:pPr>
      <w:r w:rsidRPr="00EA653A">
        <w:rPr>
          <w:lang w:val="en-US"/>
        </w:rPr>
        <w:t>[</w:t>
      </w:r>
      <w:r w:rsidR="006B3F1A">
        <w:rPr>
          <w:lang w:val="en-US"/>
        </w:rPr>
        <w:t>8</w:t>
      </w:r>
      <w:r w:rsidR="00534A5E" w:rsidRPr="00EA653A">
        <w:rPr>
          <w:lang w:val="en-US"/>
        </w:rPr>
        <w:t>]</w:t>
      </w:r>
      <w:r w:rsidR="00F14C84">
        <w:rPr>
          <w:lang w:val="en-US"/>
        </w:rPr>
        <w:tab/>
        <w:t>LHC splices task force, Meeting 54</w:t>
      </w:r>
      <w:proofErr w:type="gramStart"/>
      <w:r w:rsidR="00F14C84">
        <w:rPr>
          <w:lang w:val="en-US"/>
        </w:rPr>
        <w:t xml:space="preserve">,  </w:t>
      </w:r>
      <w:proofErr w:type="gramEnd"/>
      <w:r w:rsidR="001B7BC7" w:rsidRPr="00F14C84">
        <w:rPr>
          <w:rFonts w:hint="eastAsia"/>
        </w:rPr>
        <w:fldChar w:fldCharType="begin"/>
      </w:r>
      <w:r w:rsidR="00F14C84" w:rsidRPr="00F14C84">
        <w:rPr>
          <w:rFonts w:hint="eastAsia"/>
        </w:rPr>
        <w:instrText xml:space="preserve"> HYPERLINK "https://espace.cern.ch/lhcsplices/Meeting%2054/default.aspx" </w:instrText>
      </w:r>
      <w:r w:rsidR="005970CE" w:rsidRPr="00F14C84">
        <w:rPr>
          <w:rFonts w:hint="eastAsia"/>
        </w:rPr>
      </w:r>
      <w:r w:rsidR="001B7BC7" w:rsidRPr="00F14C84">
        <w:rPr>
          <w:rFonts w:hint="eastAsia"/>
        </w:rPr>
        <w:fldChar w:fldCharType="separate"/>
      </w:r>
      <w:r w:rsidR="00F14C84" w:rsidRPr="00F14C84">
        <w:rPr>
          <w:rStyle w:val="Hyperlink"/>
        </w:rPr>
        <w:t>https://espace.cern.ch/lhcsplices/Meeting%2054/default.aspx</w:t>
      </w:r>
      <w:r w:rsidR="001B7BC7" w:rsidRPr="00F14C84">
        <w:rPr>
          <w:rFonts w:hint="eastAsia"/>
        </w:rPr>
        <w:fldChar w:fldCharType="end"/>
      </w:r>
      <w:r w:rsidR="00F14C84" w:rsidRPr="00F14C84">
        <w:t xml:space="preserve"> </w:t>
      </w:r>
    </w:p>
    <w:p w:rsidR="0064721C" w:rsidRDefault="006B3F1A" w:rsidP="00D10511">
      <w:pPr>
        <w:pStyle w:val="ReferenceText"/>
        <w:rPr>
          <w:lang w:val="en-US"/>
        </w:rPr>
      </w:pPr>
      <w:r>
        <w:rPr>
          <w:lang w:val="en-US"/>
        </w:rPr>
        <w:t>[9</w:t>
      </w:r>
      <w:r w:rsidR="00960AD0" w:rsidRPr="00EA653A">
        <w:rPr>
          <w:lang w:val="en-US"/>
        </w:rPr>
        <w:t>]</w:t>
      </w:r>
      <w:r w:rsidR="00960AD0" w:rsidRPr="00EA653A">
        <w:rPr>
          <w:lang w:val="en-US"/>
        </w:rPr>
        <w:tab/>
      </w:r>
      <w:r w:rsidR="0064721C">
        <w:rPr>
          <w:lang w:val="en-US"/>
        </w:rPr>
        <w:t xml:space="preserve">Electron Cloud with Inverted Beam Screens, ATS/ Note2011/129(Tech), H Maury </w:t>
      </w:r>
      <w:proofErr w:type="spellStart"/>
      <w:r w:rsidR="0064721C">
        <w:rPr>
          <w:lang w:val="en-US"/>
        </w:rPr>
        <w:t>Cuna</w:t>
      </w:r>
      <w:proofErr w:type="spellEnd"/>
      <w:r w:rsidR="0064721C">
        <w:rPr>
          <w:lang w:val="en-US"/>
        </w:rPr>
        <w:t>, F Zimmermann</w:t>
      </w:r>
    </w:p>
    <w:p w:rsidR="00BC39FB" w:rsidRDefault="00223F10" w:rsidP="00D10511">
      <w:pPr>
        <w:pStyle w:val="ReferenceText"/>
        <w:rPr>
          <w:lang w:val="en-US"/>
        </w:rPr>
      </w:pPr>
      <w:r>
        <w:rPr>
          <w:lang w:val="en-US"/>
        </w:rPr>
        <w:t>[</w:t>
      </w:r>
      <w:r w:rsidR="006B3F1A">
        <w:rPr>
          <w:lang w:val="en-US"/>
        </w:rPr>
        <w:t>10</w:t>
      </w:r>
      <w:r w:rsidRPr="00EA653A">
        <w:rPr>
          <w:lang w:val="en-US"/>
        </w:rPr>
        <w:t>]</w:t>
      </w:r>
      <w:r>
        <w:rPr>
          <w:lang w:val="en-US"/>
        </w:rPr>
        <w:tab/>
      </w:r>
      <w:r w:rsidR="00BC39FB" w:rsidRPr="00BC39FB">
        <w:rPr>
          <w:lang w:val="en-US"/>
        </w:rPr>
        <w:t>QN-VAC-VACSEC.A27L4.M-L-LT-01</w:t>
      </w:r>
      <w:r w:rsidR="00BC39FB">
        <w:rPr>
          <w:lang w:val="en-US"/>
        </w:rPr>
        <w:t>, EDMS 1044807</w:t>
      </w:r>
    </w:p>
    <w:p w:rsidR="003C2560" w:rsidRPr="00DA3E7A" w:rsidRDefault="003C2560" w:rsidP="00D10511">
      <w:pPr>
        <w:pStyle w:val="ReferenceText"/>
      </w:pPr>
      <w:r>
        <w:rPr>
          <w:lang w:val="en-US"/>
        </w:rPr>
        <w:t>[11]</w:t>
      </w:r>
      <w:r>
        <w:rPr>
          <w:lang w:val="en-US"/>
        </w:rPr>
        <w:tab/>
        <w:t xml:space="preserve"> </w:t>
      </w:r>
      <w:proofErr w:type="spellStart"/>
      <w:r w:rsidR="00DA3E7A" w:rsidRPr="00DA3E7A">
        <w:rPr>
          <w:lang w:val="en-US"/>
        </w:rPr>
        <w:t>Cryomagnets</w:t>
      </w:r>
      <w:proofErr w:type="spellEnd"/>
      <w:r w:rsidR="00DA3E7A" w:rsidRPr="00DA3E7A">
        <w:rPr>
          <w:lang w:val="en-US"/>
        </w:rPr>
        <w:t xml:space="preserve"> coordination </w:t>
      </w:r>
      <w:proofErr w:type="gramStart"/>
      <w:r w:rsidR="00DA3E7A" w:rsidRPr="00DA3E7A">
        <w:rPr>
          <w:lang w:val="en-US"/>
        </w:rPr>
        <w:t>workspace :</w:t>
      </w:r>
      <w:proofErr w:type="gramEnd"/>
      <w:r w:rsidR="00DA3E7A" w:rsidRPr="00DA3E7A">
        <w:rPr>
          <w:lang w:val="en-US"/>
        </w:rPr>
        <w:t xml:space="preserve"> https://espace.cern.ch/cryomagnet-coordination/default.aspx</w:t>
      </w:r>
    </w:p>
    <w:p w:rsidR="003075B4" w:rsidRPr="00EA653A" w:rsidRDefault="00C21E2B" w:rsidP="00D10511">
      <w:pPr>
        <w:pStyle w:val="ReferenceText"/>
        <w:rPr>
          <w:lang w:val="en-US"/>
        </w:rPr>
      </w:pPr>
      <w:r w:rsidRPr="00EA653A">
        <w:rPr>
          <w:lang w:val="en-US"/>
        </w:rPr>
        <w:lastRenderedPageBreak/>
        <w:t>[</w:t>
      </w:r>
      <w:r w:rsidR="00964B5D">
        <w:rPr>
          <w:lang w:val="en-US"/>
        </w:rPr>
        <w:t>12</w:t>
      </w:r>
      <w:r w:rsidRPr="00EA653A">
        <w:rPr>
          <w:lang w:val="en-US"/>
        </w:rPr>
        <w:t>]</w:t>
      </w:r>
      <w:r w:rsidRPr="00EA653A">
        <w:rPr>
          <w:lang w:val="en-US"/>
        </w:rPr>
        <w:tab/>
      </w:r>
      <w:r w:rsidR="003075B4" w:rsidRPr="000D6A7F">
        <w:rPr>
          <w:lang w:val="en-US"/>
        </w:rPr>
        <w:t xml:space="preserve">Consolidation of the connection cryostats </w:t>
      </w:r>
      <w:proofErr w:type="spellStart"/>
      <w:r w:rsidR="003075B4" w:rsidRPr="000D6A7F">
        <w:rPr>
          <w:lang w:val="en-US"/>
        </w:rPr>
        <w:t>busbars</w:t>
      </w:r>
      <w:proofErr w:type="spellEnd"/>
      <w:r w:rsidR="003075B4" w:rsidRPr="00EA653A">
        <w:rPr>
          <w:lang w:val="en-US"/>
        </w:rPr>
        <w:t xml:space="preserve">, </w:t>
      </w:r>
      <w:r w:rsidR="003075B4">
        <w:rPr>
          <w:lang w:val="en-US"/>
        </w:rPr>
        <w:t>E</w:t>
      </w:r>
      <w:r w:rsidR="003075B4" w:rsidRPr="00EA653A">
        <w:rPr>
          <w:lang w:val="en-US"/>
        </w:rPr>
        <w:t xml:space="preserve">DMS </w:t>
      </w:r>
      <w:r w:rsidR="003075B4">
        <w:rPr>
          <w:lang w:val="en-US"/>
        </w:rPr>
        <w:t>10</w:t>
      </w:r>
      <w:r w:rsidR="003075B4" w:rsidRPr="00EA653A">
        <w:rPr>
          <w:lang w:val="en-US"/>
        </w:rPr>
        <w:t>9</w:t>
      </w:r>
      <w:r w:rsidR="003075B4">
        <w:rPr>
          <w:lang w:val="en-US"/>
        </w:rPr>
        <w:t>3355</w:t>
      </w:r>
      <w:r w:rsidR="003075B4" w:rsidRPr="00EA653A">
        <w:rPr>
          <w:lang w:val="en-US"/>
        </w:rPr>
        <w:t xml:space="preserve">, </w:t>
      </w:r>
      <w:proofErr w:type="spellStart"/>
      <w:r w:rsidR="003075B4">
        <w:rPr>
          <w:lang w:val="en-US"/>
        </w:rPr>
        <w:t>J.Ph</w:t>
      </w:r>
      <w:proofErr w:type="spellEnd"/>
      <w:r w:rsidR="003075B4">
        <w:rPr>
          <w:lang w:val="en-US"/>
        </w:rPr>
        <w:t>. Tock</w:t>
      </w:r>
    </w:p>
    <w:p w:rsidR="00781520" w:rsidRDefault="006B3F1A" w:rsidP="00D10511">
      <w:pPr>
        <w:pStyle w:val="ReferenceText"/>
        <w:rPr>
          <w:lang w:val="en-US"/>
        </w:rPr>
      </w:pPr>
      <w:r>
        <w:rPr>
          <w:lang w:val="en-US"/>
        </w:rPr>
        <w:t>[</w:t>
      </w:r>
      <w:r w:rsidR="00964B5D">
        <w:rPr>
          <w:lang w:val="en-US"/>
        </w:rPr>
        <w:t>13</w:t>
      </w:r>
      <w:r w:rsidR="000D6BAB" w:rsidRPr="00EA653A">
        <w:rPr>
          <w:lang w:val="en-US"/>
        </w:rPr>
        <w:t>]</w:t>
      </w:r>
      <w:r w:rsidR="00781520">
        <w:rPr>
          <w:lang w:val="en-US"/>
        </w:rPr>
        <w:tab/>
      </w:r>
      <w:r w:rsidR="00781520" w:rsidRPr="002E034E">
        <w:rPr>
          <w:lang w:val="en-US"/>
        </w:rPr>
        <w:t>New protection scheme and pressure relief-valve staging of the LHC insulation vacuum enclosure following the 19th September 2008 incident</w:t>
      </w:r>
      <w:r w:rsidR="00781520">
        <w:rPr>
          <w:lang w:val="en-US"/>
        </w:rPr>
        <w:t>, CERN ATS Note 2010-057</w:t>
      </w:r>
      <w:r w:rsidR="00781520" w:rsidRPr="00EA653A">
        <w:rPr>
          <w:lang w:val="en-US"/>
        </w:rPr>
        <w:t>,</w:t>
      </w:r>
      <w:r w:rsidR="00781520">
        <w:rPr>
          <w:lang w:val="en-US"/>
        </w:rPr>
        <w:t xml:space="preserve"> EDMS 1044895, L Tavian</w:t>
      </w:r>
    </w:p>
    <w:p w:rsidR="002A5E98" w:rsidRDefault="006B3F1A" w:rsidP="00D10511">
      <w:pPr>
        <w:pStyle w:val="ReferenceText"/>
        <w:rPr>
          <w:lang w:val="en-US"/>
        </w:rPr>
      </w:pPr>
      <w:r>
        <w:rPr>
          <w:lang w:val="en-US"/>
        </w:rPr>
        <w:t>[</w:t>
      </w:r>
      <w:r w:rsidR="00EE27A2">
        <w:rPr>
          <w:lang w:val="en-US"/>
        </w:rPr>
        <w:t>14</w:t>
      </w:r>
      <w:r w:rsidR="00E178EC" w:rsidRPr="00EA653A">
        <w:rPr>
          <w:lang w:val="en-US"/>
        </w:rPr>
        <w:t>]</w:t>
      </w:r>
      <w:r w:rsidR="00E178EC" w:rsidRPr="00EA653A">
        <w:rPr>
          <w:lang w:val="en-US"/>
        </w:rPr>
        <w:tab/>
      </w:r>
      <w:r w:rsidR="002A5E98" w:rsidRPr="002A5E98">
        <w:rPr>
          <w:lang w:val="en-US"/>
        </w:rPr>
        <w:t>Vacuum upgrade</w:t>
      </w:r>
      <w:proofErr w:type="gramStart"/>
      <w:r w:rsidR="002A5E98">
        <w:rPr>
          <w:lang w:val="en-US"/>
        </w:rPr>
        <w:t>, ,</w:t>
      </w:r>
      <w:proofErr w:type="gramEnd"/>
      <w:r w:rsidR="002A5E98">
        <w:rPr>
          <w:lang w:val="en-US"/>
        </w:rPr>
        <w:t xml:space="preserve"> </w:t>
      </w:r>
      <w:r w:rsidR="00C025F7">
        <w:rPr>
          <w:lang w:val="en-US"/>
        </w:rPr>
        <w:t>T</w:t>
      </w:r>
      <w:r w:rsidR="002A5E98">
        <w:rPr>
          <w:lang w:val="en-US"/>
        </w:rPr>
        <w:t>hese proceedings</w:t>
      </w:r>
      <w:r w:rsidR="003A7751">
        <w:rPr>
          <w:lang w:val="en-US"/>
        </w:rPr>
        <w:t>,</w:t>
      </w:r>
      <w:r w:rsidR="003A7751" w:rsidRPr="003A7751">
        <w:rPr>
          <w:lang w:val="en-US"/>
        </w:rPr>
        <w:t xml:space="preserve"> </w:t>
      </w:r>
      <w:r w:rsidR="003A7751">
        <w:rPr>
          <w:lang w:val="en-US"/>
        </w:rPr>
        <w:t>J.M. Jimenez</w:t>
      </w:r>
    </w:p>
    <w:p w:rsidR="00DD7EDF" w:rsidRDefault="006B3F1A" w:rsidP="00D10511">
      <w:pPr>
        <w:pStyle w:val="ReferenceText"/>
        <w:rPr>
          <w:lang w:val="en-US"/>
        </w:rPr>
      </w:pPr>
      <w:r>
        <w:rPr>
          <w:lang w:val="en-US"/>
        </w:rPr>
        <w:t>[</w:t>
      </w:r>
      <w:r w:rsidR="00EE27A2">
        <w:rPr>
          <w:lang w:val="en-US"/>
        </w:rPr>
        <w:t>15</w:t>
      </w:r>
      <w:r w:rsidR="00223F10" w:rsidRPr="00EA653A">
        <w:rPr>
          <w:lang w:val="en-US"/>
        </w:rPr>
        <w:t>]</w:t>
      </w:r>
      <w:r w:rsidR="00BF27DF">
        <w:rPr>
          <w:lang w:val="en-US"/>
        </w:rPr>
        <w:tab/>
      </w:r>
      <w:r w:rsidR="00DD7EDF">
        <w:rPr>
          <w:lang w:val="en-US"/>
        </w:rPr>
        <w:t xml:space="preserve">LHC-QBBI-EC-0001, </w:t>
      </w:r>
      <w:r w:rsidR="00DD7EDF" w:rsidRPr="00DD7EDF">
        <w:rPr>
          <w:lang w:val="en-US"/>
        </w:rPr>
        <w:t>Protective half shells for the vacuum lines</w:t>
      </w:r>
      <w:r w:rsidR="00DD7EDF">
        <w:rPr>
          <w:lang w:val="en-US"/>
        </w:rPr>
        <w:t>, EDMS 1184071, C Garion</w:t>
      </w:r>
    </w:p>
    <w:p w:rsidR="00DA0F19" w:rsidRDefault="000D6BAB" w:rsidP="00D10511">
      <w:pPr>
        <w:pStyle w:val="ReferenceText"/>
        <w:rPr>
          <w:lang w:val="en-US"/>
        </w:rPr>
      </w:pPr>
      <w:r>
        <w:rPr>
          <w:lang w:val="en-US"/>
        </w:rPr>
        <w:t>[</w:t>
      </w:r>
      <w:r w:rsidR="00EE27A2">
        <w:rPr>
          <w:lang w:val="en-US"/>
        </w:rPr>
        <w:t>16</w:t>
      </w:r>
      <w:r w:rsidR="00223F10" w:rsidRPr="00EA653A">
        <w:rPr>
          <w:lang w:val="en-US"/>
        </w:rPr>
        <w:t>]</w:t>
      </w:r>
      <w:r w:rsidR="005B319A">
        <w:rPr>
          <w:lang w:val="en-US"/>
        </w:rPr>
        <w:tab/>
      </w:r>
      <w:r w:rsidR="00DA0F19" w:rsidRPr="00AD538F">
        <w:rPr>
          <w:lang w:val="en-US"/>
        </w:rPr>
        <w:t xml:space="preserve">Modification of Helium level gauge </w:t>
      </w:r>
      <w:proofErr w:type="spellStart"/>
      <w:r w:rsidR="00DA0F19" w:rsidRPr="00AD538F">
        <w:rPr>
          <w:lang w:val="en-US"/>
        </w:rPr>
        <w:t>feedthrough</w:t>
      </w:r>
      <w:proofErr w:type="spellEnd"/>
      <w:r w:rsidR="00DA0F19" w:rsidRPr="00AD538F">
        <w:rPr>
          <w:lang w:val="en-US"/>
        </w:rPr>
        <w:t xml:space="preserve"> capillary of (semi) stand alone magnets</w:t>
      </w:r>
      <w:r w:rsidR="00DA0F19">
        <w:rPr>
          <w:lang w:val="en-US"/>
        </w:rPr>
        <w:t xml:space="preserve">, EDMS 1093349, </w:t>
      </w:r>
      <w:proofErr w:type="spellStart"/>
      <w:r w:rsidR="00DA0F19">
        <w:rPr>
          <w:lang w:val="en-US"/>
        </w:rPr>
        <w:t>J.Ph</w:t>
      </w:r>
      <w:proofErr w:type="spellEnd"/>
      <w:r w:rsidR="00DA0F19">
        <w:rPr>
          <w:lang w:val="en-US"/>
        </w:rPr>
        <w:t>. Tock</w:t>
      </w:r>
    </w:p>
    <w:p w:rsidR="00724E53" w:rsidRPr="00724E53" w:rsidRDefault="00724E53" w:rsidP="00D10511">
      <w:pPr>
        <w:pStyle w:val="ReferenceText"/>
        <w:rPr>
          <w:lang w:val="en-US"/>
        </w:rPr>
      </w:pPr>
      <w:r>
        <w:rPr>
          <w:lang w:val="en-US"/>
        </w:rPr>
        <w:t>[17</w:t>
      </w:r>
      <w:r w:rsidRPr="00EA653A">
        <w:rPr>
          <w:lang w:val="en-US"/>
        </w:rPr>
        <w:t>]</w:t>
      </w:r>
      <w:r>
        <w:tab/>
      </w:r>
      <w:r w:rsidRPr="00724E53">
        <w:t>Which systems (except main circuits) should be commissioned/tested for 7TeV operation before the long shutdown</w:t>
      </w:r>
      <w:proofErr w:type="gramStart"/>
      <w:r w:rsidRPr="00724E53">
        <w:t>?</w:t>
      </w:r>
      <w:r>
        <w:t>,</w:t>
      </w:r>
      <w:proofErr w:type="gramEnd"/>
      <w:r>
        <w:t xml:space="preserve"> Chamonix 2011,</w:t>
      </w:r>
      <w:r w:rsidRPr="00724E53">
        <w:t xml:space="preserve"> </w:t>
      </w:r>
      <w:hyperlink r:id="rId13" w:history="1">
        <w:r w:rsidRPr="00873CAC">
          <w:rPr>
            <w:rStyle w:val="Hyperlink"/>
          </w:rPr>
          <w:t>http://indico.cern.ch/conferenceOtherViews.py?view=standard&amp;confId=103957</w:t>
        </w:r>
      </w:hyperlink>
      <w:r>
        <w:t xml:space="preserve"> , M Pojer</w:t>
      </w:r>
    </w:p>
    <w:p w:rsidR="00724E53" w:rsidRDefault="00724E53" w:rsidP="00D10511">
      <w:pPr>
        <w:pStyle w:val="ReferenceText"/>
        <w:rPr>
          <w:lang w:val="en-US"/>
        </w:rPr>
      </w:pPr>
      <w:r>
        <w:rPr>
          <w:lang w:val="en-US"/>
        </w:rPr>
        <w:t>[18]</w:t>
      </w:r>
      <w:r>
        <w:rPr>
          <w:lang w:val="en-US"/>
        </w:rPr>
        <w:tab/>
      </w:r>
      <w:r w:rsidRPr="00392E18">
        <w:rPr>
          <w:lang w:val="en-US"/>
        </w:rPr>
        <w:t xml:space="preserve">What needs to be done to reach beam energy above 3.5 </w:t>
      </w:r>
      <w:proofErr w:type="spellStart"/>
      <w:r w:rsidRPr="00392E18">
        <w:rPr>
          <w:lang w:val="en-US"/>
        </w:rPr>
        <w:t>TeV</w:t>
      </w:r>
      <w:proofErr w:type="spellEnd"/>
      <w:r w:rsidRPr="00392E18">
        <w:rPr>
          <w:lang w:val="en-US"/>
        </w:rPr>
        <w:t>? Commissioning of essential magnet powering</w:t>
      </w:r>
      <w:r>
        <w:rPr>
          <w:lang w:val="en-US"/>
        </w:rPr>
        <w:t xml:space="preserve"> and machine protection systems, Chamonix 2011, </w:t>
      </w:r>
      <w:hyperlink r:id="rId14" w:history="1">
        <w:r w:rsidRPr="00873CAC">
          <w:rPr>
            <w:rStyle w:val="Hyperlink"/>
          </w:rPr>
          <w:t>http://indico.cern.ch/conferenceOtherViews.py?view=standard&amp;confId=103957</w:t>
        </w:r>
      </w:hyperlink>
      <w:r>
        <w:t xml:space="preserve"> ,</w:t>
      </w:r>
      <w:r w:rsidRPr="00162CBE">
        <w:rPr>
          <w:lang w:val="en-US"/>
        </w:rPr>
        <w:t xml:space="preserve"> </w:t>
      </w:r>
      <w:r>
        <w:rPr>
          <w:lang w:val="en-US"/>
        </w:rPr>
        <w:t>N Catalan</w:t>
      </w:r>
    </w:p>
    <w:p w:rsidR="00724E53" w:rsidRDefault="00724E53" w:rsidP="00D10511">
      <w:pPr>
        <w:pStyle w:val="ReferenceText"/>
        <w:rPr>
          <w:lang w:val="en-US"/>
        </w:rPr>
      </w:pPr>
      <w:r>
        <w:rPr>
          <w:lang w:val="en-US"/>
        </w:rPr>
        <w:t>[19</w:t>
      </w:r>
      <w:r w:rsidRPr="00EA653A">
        <w:rPr>
          <w:lang w:val="en-US"/>
        </w:rPr>
        <w:t>]</w:t>
      </w:r>
      <w:r>
        <w:rPr>
          <w:lang w:val="en-US"/>
        </w:rPr>
        <w:tab/>
      </w:r>
      <w:r w:rsidR="00872541" w:rsidRPr="00872541">
        <w:rPr>
          <w:lang w:val="en-US"/>
        </w:rPr>
        <w:t>Powering tests before LHC warm-up: What is new from Chamonix 2011</w:t>
      </w:r>
      <w:proofErr w:type="gramStart"/>
      <w:r w:rsidR="00872541" w:rsidRPr="00872541">
        <w:rPr>
          <w:lang w:val="en-US"/>
        </w:rPr>
        <w:t>?</w:t>
      </w:r>
      <w:r w:rsidR="00872541">
        <w:rPr>
          <w:lang w:val="en-US"/>
        </w:rPr>
        <w:t>,</w:t>
      </w:r>
      <w:proofErr w:type="gramEnd"/>
      <w:r w:rsidR="00872541">
        <w:rPr>
          <w:lang w:val="en-US"/>
        </w:rPr>
        <w:t xml:space="preserve"> these proceedings, </w:t>
      </w:r>
      <w:r w:rsidRPr="00AD538F">
        <w:rPr>
          <w:lang w:val="en-US"/>
        </w:rPr>
        <w:t>M</w:t>
      </w:r>
      <w:r w:rsidR="00872541">
        <w:rPr>
          <w:lang w:val="en-US"/>
        </w:rPr>
        <w:t xml:space="preserve"> Pojer</w:t>
      </w:r>
    </w:p>
    <w:p w:rsidR="00D10511" w:rsidRDefault="00D10511" w:rsidP="00D10511">
      <w:pPr>
        <w:pStyle w:val="ReferenceText"/>
        <w:rPr>
          <w:lang w:val="en-US"/>
        </w:rPr>
      </w:pPr>
      <w:r>
        <w:rPr>
          <w:lang w:val="en-US"/>
        </w:rPr>
        <w:t>[20</w:t>
      </w:r>
      <w:r w:rsidRPr="00EA653A">
        <w:rPr>
          <w:lang w:val="en-US"/>
        </w:rPr>
        <w:t>]</w:t>
      </w:r>
      <w:r>
        <w:rPr>
          <w:lang w:val="en-US"/>
        </w:rPr>
        <w:tab/>
      </w:r>
      <w:r w:rsidR="00B97B09" w:rsidRPr="00D10511">
        <w:rPr>
          <w:lang w:val="en-US"/>
        </w:rPr>
        <w:t xml:space="preserve">Passive heaters improperly installed on the Q1 phase separator pot, </w:t>
      </w:r>
      <w:r w:rsidR="006D0CF2" w:rsidRPr="00D10511">
        <w:rPr>
          <w:lang w:val="en-US"/>
        </w:rPr>
        <w:t>EDMS 982513, 982506, 982524, 982518, 982511, 982525, 982512, 982517</w:t>
      </w:r>
      <w:r w:rsidR="00B97B09" w:rsidRPr="00D10511">
        <w:rPr>
          <w:lang w:val="en-US"/>
        </w:rPr>
        <w:t>, C Darve</w:t>
      </w:r>
    </w:p>
    <w:p w:rsidR="00724E53" w:rsidRDefault="00D10511" w:rsidP="00D10511">
      <w:pPr>
        <w:pStyle w:val="ReferenceText"/>
        <w:rPr>
          <w:lang w:val="en-US"/>
        </w:rPr>
      </w:pPr>
      <w:r>
        <w:rPr>
          <w:lang w:val="en-US"/>
        </w:rPr>
        <w:t>[21</w:t>
      </w:r>
      <w:r w:rsidR="00724E53" w:rsidRPr="00EA653A">
        <w:rPr>
          <w:lang w:val="en-US"/>
        </w:rPr>
        <w:t>]</w:t>
      </w:r>
      <w:r w:rsidR="00724E53">
        <w:rPr>
          <w:lang w:val="en-US"/>
        </w:rPr>
        <w:tab/>
      </w:r>
      <w:r w:rsidR="00E52C77" w:rsidRPr="00E52C77">
        <w:rPr>
          <w:lang w:val="en-US"/>
        </w:rPr>
        <w:t xml:space="preserve">LS1 general planning and strategy for LHC, </w:t>
      </w:r>
      <w:r w:rsidR="00E52C77">
        <w:rPr>
          <w:lang w:val="en-US"/>
        </w:rPr>
        <w:t>these proceedings, K Foraz</w:t>
      </w:r>
    </w:p>
    <w:p w:rsidR="005B319A" w:rsidRPr="009F3EDE" w:rsidRDefault="00724E53" w:rsidP="00D10511">
      <w:pPr>
        <w:pStyle w:val="ReferenceText"/>
        <w:rPr>
          <w:lang w:val="en-US"/>
        </w:rPr>
      </w:pPr>
      <w:r>
        <w:rPr>
          <w:lang w:val="en-US"/>
        </w:rPr>
        <w:t>[</w:t>
      </w:r>
      <w:r w:rsidR="00872541">
        <w:rPr>
          <w:lang w:val="en-US"/>
        </w:rPr>
        <w:t>2</w:t>
      </w:r>
      <w:r w:rsidR="00D10511">
        <w:rPr>
          <w:lang w:val="en-US"/>
        </w:rPr>
        <w:t>2</w:t>
      </w:r>
      <w:r w:rsidRPr="00EA653A">
        <w:rPr>
          <w:lang w:val="en-US"/>
        </w:rPr>
        <w:t>]</w:t>
      </w:r>
      <w:r>
        <w:rPr>
          <w:lang w:val="en-US"/>
        </w:rPr>
        <w:tab/>
      </w:r>
      <w:hyperlink r:id="rId15" w:history="1">
        <w:r w:rsidR="009F3EDE" w:rsidRPr="00E35DA6">
          <w:rPr>
            <w:rStyle w:val="Hyperlink"/>
            <w:lang w:val="en-US"/>
          </w:rPr>
          <w:t>http://www.youtube.com/watch?v=kVnYkJg-0Rk</w:t>
        </w:r>
      </w:hyperlink>
      <w:r w:rsidR="000A121B">
        <w:rPr>
          <w:lang w:val="en-US"/>
        </w:rPr>
        <w:t>, J </w:t>
      </w:r>
      <w:r w:rsidR="009F3EDE" w:rsidRPr="009F3EDE">
        <w:rPr>
          <w:lang w:val="en-US"/>
        </w:rPr>
        <w:t>P</w:t>
      </w:r>
      <w:r w:rsidR="009F3EDE">
        <w:rPr>
          <w:lang w:val="en-US"/>
        </w:rPr>
        <w:t>ereira Lopes</w:t>
      </w:r>
    </w:p>
    <w:p w:rsidR="00724E53" w:rsidRPr="00D10511" w:rsidRDefault="00872541" w:rsidP="00D10511">
      <w:pPr>
        <w:pStyle w:val="ReferenceText"/>
        <w:rPr>
          <w:lang w:val="en-US"/>
        </w:rPr>
      </w:pPr>
      <w:r>
        <w:rPr>
          <w:lang w:val="en-US"/>
        </w:rPr>
        <w:t>[2</w:t>
      </w:r>
      <w:r w:rsidR="00D10511">
        <w:rPr>
          <w:lang w:val="en-US"/>
        </w:rPr>
        <w:t>3</w:t>
      </w:r>
      <w:r w:rsidR="00724E53" w:rsidRPr="00EA653A">
        <w:rPr>
          <w:lang w:val="en-US"/>
        </w:rPr>
        <w:t>]</w:t>
      </w:r>
      <w:r w:rsidR="00724E53">
        <w:rPr>
          <w:lang w:val="en-US"/>
        </w:rPr>
        <w:tab/>
      </w:r>
      <w:r w:rsidR="001D7B32" w:rsidRPr="001D7B32">
        <w:rPr>
          <w:lang w:val="en-US"/>
        </w:rPr>
        <w:t>Work organization for splice consolidation</w:t>
      </w:r>
      <w:r w:rsidR="001D7B32">
        <w:rPr>
          <w:lang w:val="en-US"/>
        </w:rPr>
        <w:t xml:space="preserve">, </w:t>
      </w:r>
      <w:r w:rsidR="00D10511">
        <w:rPr>
          <w:lang w:val="en-US"/>
        </w:rPr>
        <w:t>Chamonix </w:t>
      </w:r>
      <w:r w:rsidR="00D10511" w:rsidRPr="00D10511">
        <w:rPr>
          <w:lang w:val="en-US"/>
        </w:rPr>
        <w:t xml:space="preserve">2011, </w:t>
      </w:r>
      <w:hyperlink r:id="rId16" w:history="1">
        <w:r w:rsidR="00D10511" w:rsidRPr="00D10511">
          <w:rPr>
            <w:rStyle w:val="Hyperlink"/>
            <w:lang w:val="en-US"/>
          </w:rPr>
          <w:t>http://indico.cern.ch/conferenceOtherViews.py?view=standard&amp;confId=103957</w:t>
        </w:r>
      </w:hyperlink>
      <w:r w:rsidR="00D10511" w:rsidRPr="00D10511">
        <w:rPr>
          <w:lang w:val="en-US"/>
        </w:rPr>
        <w:t xml:space="preserve"> , </w:t>
      </w:r>
      <w:r w:rsidR="00D10511">
        <w:rPr>
          <w:lang w:val="en-US"/>
        </w:rPr>
        <w:t>F Bertinelli</w:t>
      </w:r>
    </w:p>
    <w:p w:rsidR="00724E53" w:rsidRDefault="00872541" w:rsidP="00D10511">
      <w:pPr>
        <w:pStyle w:val="ReferenceText"/>
        <w:rPr>
          <w:lang w:val="en-US"/>
        </w:rPr>
      </w:pPr>
      <w:r>
        <w:rPr>
          <w:lang w:val="en-US"/>
        </w:rPr>
        <w:t>[2</w:t>
      </w:r>
      <w:r w:rsidR="00D10511">
        <w:rPr>
          <w:lang w:val="en-US"/>
        </w:rPr>
        <w:t>4</w:t>
      </w:r>
      <w:r w:rsidR="00724E53" w:rsidRPr="00EA653A">
        <w:rPr>
          <w:lang w:val="en-US"/>
        </w:rPr>
        <w:t>]</w:t>
      </w:r>
      <w:r w:rsidR="00724E53">
        <w:rPr>
          <w:lang w:val="en-US"/>
        </w:rPr>
        <w:tab/>
      </w:r>
      <w:r w:rsidR="00AC3A9F" w:rsidRPr="00AC3A9F">
        <w:rPr>
          <w:lang w:val="en-US"/>
        </w:rPr>
        <w:t xml:space="preserve">Screening for Defects in the LHC Magnets Electrical </w:t>
      </w:r>
      <w:proofErr w:type="gramStart"/>
      <w:r w:rsidR="00AC3A9F" w:rsidRPr="00AC3A9F">
        <w:rPr>
          <w:lang w:val="en-US"/>
        </w:rPr>
        <w:t>Circuits(</w:t>
      </w:r>
      <w:proofErr w:type="gramEnd"/>
      <w:r w:rsidR="00AC3A9F" w:rsidRPr="00AC3A9F">
        <w:rPr>
          <w:lang w:val="en-US"/>
        </w:rPr>
        <w:t>Mar2010-Jun2011), Final Report, Conclusions and Recommendations</w:t>
      </w:r>
      <w:r w:rsidR="00AC3A9F">
        <w:rPr>
          <w:lang w:val="en-US"/>
        </w:rPr>
        <w:t xml:space="preserve"> </w:t>
      </w:r>
      <w:r w:rsidR="00AC3A9F" w:rsidRPr="00AC3A9F">
        <w:rPr>
          <w:lang w:val="en-US"/>
        </w:rPr>
        <w:t>EDMS: 1176186</w:t>
      </w:r>
      <w:r w:rsidR="00AC3A9F">
        <w:rPr>
          <w:lang w:val="en-US"/>
        </w:rPr>
        <w:t>, H Ten Kate</w:t>
      </w:r>
    </w:p>
    <w:p w:rsidR="00724E53" w:rsidRDefault="00D10511" w:rsidP="00D10511">
      <w:pPr>
        <w:pStyle w:val="ReferenceText"/>
        <w:rPr>
          <w:lang w:val="en-US"/>
        </w:rPr>
      </w:pPr>
      <w:r>
        <w:rPr>
          <w:lang w:val="en-US"/>
        </w:rPr>
        <w:t>[25</w:t>
      </w:r>
      <w:r w:rsidR="00724E53" w:rsidRPr="00EA653A">
        <w:rPr>
          <w:lang w:val="en-US"/>
        </w:rPr>
        <w:t>]</w:t>
      </w:r>
      <w:r w:rsidR="00724E53">
        <w:rPr>
          <w:lang w:val="en-US"/>
        </w:rPr>
        <w:tab/>
      </w:r>
      <w:r w:rsidR="005F133B" w:rsidRPr="005B319A">
        <w:rPr>
          <w:lang w:val="en-US"/>
        </w:rPr>
        <w:t>LHC-LI-EC-0001</w:t>
      </w:r>
      <w:r w:rsidR="005F133B">
        <w:rPr>
          <w:lang w:val="en-US"/>
        </w:rPr>
        <w:t xml:space="preserve">, </w:t>
      </w:r>
      <w:r w:rsidR="005F133B" w:rsidRPr="005B319A">
        <w:rPr>
          <w:lang w:val="en-US"/>
        </w:rPr>
        <w:t>I</w:t>
      </w:r>
      <w:r w:rsidR="005F133B">
        <w:rPr>
          <w:lang w:val="en-US"/>
        </w:rPr>
        <w:t>ntroduction of samples in the arc interconnections, EDMS 906072, L Ulrici</w:t>
      </w:r>
    </w:p>
    <w:p w:rsidR="00E14E5C" w:rsidRPr="00EA653A" w:rsidRDefault="00D10511" w:rsidP="00E14E5C">
      <w:pPr>
        <w:pStyle w:val="ReferenceText"/>
        <w:rPr>
          <w:lang w:val="en-US"/>
        </w:rPr>
      </w:pPr>
      <w:r>
        <w:rPr>
          <w:lang w:val="en-US"/>
        </w:rPr>
        <w:t>[26</w:t>
      </w:r>
      <w:r w:rsidR="00724E53" w:rsidRPr="00EA653A">
        <w:rPr>
          <w:lang w:val="en-US"/>
        </w:rPr>
        <w:t>]</w:t>
      </w:r>
      <w:r w:rsidR="00724E53">
        <w:rPr>
          <w:lang w:val="en-US"/>
        </w:rPr>
        <w:tab/>
      </w:r>
      <w:r w:rsidR="00E14E5C" w:rsidRPr="00A13C2E">
        <w:rPr>
          <w:lang w:val="en-US"/>
        </w:rPr>
        <w:t>Installing collimators in the next long shut-down: plans, status and challenges</w:t>
      </w:r>
      <w:r w:rsidR="00E14E5C">
        <w:rPr>
          <w:lang w:val="en-US"/>
        </w:rPr>
        <w:t>,</w:t>
      </w:r>
      <w:r w:rsidR="00E14E5C" w:rsidRPr="00E14E5C">
        <w:rPr>
          <w:lang w:val="en-US"/>
        </w:rPr>
        <w:t xml:space="preserve"> </w:t>
      </w:r>
      <w:r w:rsidR="00E14E5C">
        <w:rPr>
          <w:lang w:val="en-US"/>
        </w:rPr>
        <w:t>Chamonix </w:t>
      </w:r>
      <w:r w:rsidR="00E14E5C" w:rsidRPr="00D10511">
        <w:rPr>
          <w:lang w:val="en-US"/>
        </w:rPr>
        <w:t xml:space="preserve">2011, </w:t>
      </w:r>
      <w:hyperlink r:id="rId17" w:history="1">
        <w:r w:rsidR="00E14E5C" w:rsidRPr="00D10511">
          <w:rPr>
            <w:rStyle w:val="Hyperlink"/>
            <w:lang w:val="en-US"/>
          </w:rPr>
          <w:t>http://indico.cern.ch/conferenceOtherViews.py?view=standard&amp;confId=103957</w:t>
        </w:r>
      </w:hyperlink>
      <w:r w:rsidR="00E14E5C">
        <w:rPr>
          <w:lang w:val="en-US"/>
        </w:rPr>
        <w:t>, V Parma</w:t>
      </w:r>
    </w:p>
    <w:p w:rsidR="00724E53" w:rsidRDefault="00724E53" w:rsidP="00D10511">
      <w:pPr>
        <w:pStyle w:val="ReferenceText"/>
        <w:rPr>
          <w:lang w:val="en-US"/>
        </w:rPr>
      </w:pPr>
    </w:p>
    <w:p w:rsidR="00724E53" w:rsidRDefault="00724E53" w:rsidP="00D10511">
      <w:pPr>
        <w:pStyle w:val="ReferenceText"/>
        <w:rPr>
          <w:lang w:val="en-US"/>
        </w:rPr>
      </w:pPr>
    </w:p>
    <w:sectPr w:rsidR="00724E53" w:rsidSect="00EA653A">
      <w:footnotePr>
        <w:pos w:val="beneathText"/>
        <w:numFmt w:val="chicago"/>
      </w:footnotePr>
      <w:endnotePr>
        <w:numFmt w:val="decimal"/>
      </w:endnotePr>
      <w:type w:val="continuous"/>
      <w:pgSz w:w="11907" w:h="16840" w:code="9"/>
      <w:pgMar w:top="2098" w:right="1134" w:bottom="1077" w:left="1134" w:header="2104" w:footer="1077" w:gutter="0"/>
      <w:cols w:num="2" w:space="28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Data r:id="rId1"/>
  </wne:toolbars>
  <wne:acds>
    <wne:acd wne:argValue="AgBBAGIAcwB0AHIAYQBjAHQAIABUAGkAdABsAGUA" wne:acdName="acd0" wne:fciIndexBasedOn="0065"/>
    <wne:acd wne:argValue="AgBBAHUAdABoAG8AcgAgAEwAaQBzAHQA" wne:acdName="acd1" wne:fciIndexBasedOn="0065"/>
    <wne:acd wne:argValue="AgBIAGUAYQBkAGkAbgBnACAAMQAsAFAAYQBwAGUAcgAgAFQAaQB0AGwAZQA=" wne:acdName="acd2" wne:fciIndexBasedOn="0065"/>
    <wne:acd wne:argValue="AgBCAHUAbABsAGUAdABlAGQAIABMAGkAcwB0AA==" wne:acdName="acd3" wne:fciIndexBasedOn="0065"/>
    <wne:acd wne:argValue="AQAAAEMA" wne:acdName="acd4" wne:fciIndexBasedOn="0065"/>
    <wne:acd wne:argValue="AQAAACoA" wne:acdName="acd5" wne:fciIndexBasedOn="0065"/>
    <wne:acd wne:argValue="AQAAACsA" wne:acdName="acd6" wne:fciIndexBasedOn="0065"/>
    <wne:acd wne:argValue="AgBGAGkAZwB1AHIAZQAgAEMAYQBwAHQAaQBvAG4A" wne:acdName="acd7" wne:fciIndexBasedOn="0065"/>
    <wne:acd wne:argValue="AQAAACYA" wne:acdName="acd8" wne:fciIndexBasedOn="0065"/>
    <wne:acd wne:argValue="AQAAAB0A" wne:acdName="acd9" wne:fciIndexBasedOn="0065"/>
    <wne:acd wne:argValue="AgBCAG8AZAB5ACAAVABlAHgAdAAgAE4AbwAgAEkAbgBkAGUAbgB0AA==" wne:acdName="acd10" wne:fciIndexBasedOn="0065"/>
    <wne:acd wne:argValue="AgBIAGUAYQBkAGkAbgBnACAAMgAsAFMAZQBjAHQAaQBvAG4AIABIAGUAYQBkAGkAbgBnAA==" wne:acdName="acd11" wne:fciIndexBasedOn="0065"/>
    <wne:acd wne:argValue="AgBIAGUAYQBkAGkAbgBnACAAMwAsAFMAdQBiAHMAZQBjAHQAaQBvAG4AIABIAGUAYQBkAGkAbgBn&#10;AA==" wne:acdName="acd12" wne:fciIndexBasedOn="0065"/>
    <wne:acd wne:argValue="AQAAAFUA" wne:acdName="acd13" wne:fciIndexBasedOn="0065"/>
    <wne:acd wne:argValue="AgBGAGkAZwB1AHIAZQAgAEMAYQBwAHQAaQBvAG4AIABNAHUAbAB0AGkAIABMAGkAbgBlAA==" wne:acdName="acd14" wne:fciIndexBasedOn="0065"/>
    <wne:acd wne:argValue="AgBSAGUAZgBlAHIAZQBuAGMAZQAgAE4AbwB0AGUA" wne:acdName="acd15" wne:fciIndexBasedOn="0065"/>
    <wne:acd wne:argValue="AgBUAGEAYgBsAGUAIABDAGEAcAB0AGkAbwBuAA==" wne:acdName="acd16" wne:fciIndexBasedOn="0065"/>
    <wne:acd wne:argValue="AgBUAGEAYgBsAGUAIABDAGEAcAB0AGkAbwBuACAATQB1AGwAdABpACAATABpAG4AZQA=" wne:acdName="acd17" wne:fciIndexBasedOn="0065"/>
    <wne:acd wne:argValue="AgBFAHEAdQBhAHQAaQBvAG4A" wne:acdName="acd18" wne:fciIndexBasedOn="0065"/>
    <wne:acd wne:argValue="AgBSAGUAZgBlAHIAZQBuAGMAZQAgAFQAZQB4AHQA" wne:acdName="acd1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37" w:rsidRDefault="00FD7137"/>
  </w:endnote>
  <w:endnote w:type="continuationSeparator" w:id="0">
    <w:p w:rsidR="00FD7137" w:rsidRDefault="00FD7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37" w:rsidRDefault="00FD7137">
      <w:r>
        <w:separator/>
      </w:r>
    </w:p>
  </w:footnote>
  <w:footnote w:type="continuationSeparator" w:id="0">
    <w:p w:rsidR="00FD7137" w:rsidRDefault="00FD7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88F7BDB"/>
    <w:multiLevelType w:val="hybridMultilevel"/>
    <w:tmpl w:val="BAF2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966C9"/>
    <w:multiLevelType w:val="hybridMultilevel"/>
    <w:tmpl w:val="DD2C75A0"/>
    <w:lvl w:ilvl="0" w:tplc="332438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AC7D1D"/>
    <w:multiLevelType w:val="hybridMultilevel"/>
    <w:tmpl w:val="89BA0BBC"/>
    <w:lvl w:ilvl="0" w:tplc="33C6A1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9419D"/>
    <w:multiLevelType w:val="hybridMultilevel"/>
    <w:tmpl w:val="E680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164B6FCA"/>
    <w:multiLevelType w:val="hybridMultilevel"/>
    <w:tmpl w:val="0AE4290A"/>
    <w:lvl w:ilvl="0" w:tplc="332438BA">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7">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EF62A7"/>
    <w:multiLevelType w:val="hybridMultilevel"/>
    <w:tmpl w:val="CDFCF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9D4EC1"/>
    <w:multiLevelType w:val="hybridMultilevel"/>
    <w:tmpl w:val="252C5888"/>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46921B54"/>
    <w:multiLevelType w:val="hybridMultilevel"/>
    <w:tmpl w:val="4EA20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BF48D4"/>
    <w:multiLevelType w:val="hybridMultilevel"/>
    <w:tmpl w:val="6360B122"/>
    <w:lvl w:ilvl="0" w:tplc="332438B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2">
    <w:nsid w:val="51F02276"/>
    <w:multiLevelType w:val="hybridMultilevel"/>
    <w:tmpl w:val="0C30EB52"/>
    <w:lvl w:ilvl="0" w:tplc="2F7CEC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85154"/>
    <w:multiLevelType w:val="hybridMultilevel"/>
    <w:tmpl w:val="83DA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1427A8"/>
    <w:multiLevelType w:val="hybridMultilevel"/>
    <w:tmpl w:val="0B88C64C"/>
    <w:lvl w:ilvl="0" w:tplc="0ABAF160">
      <w:start w:val="1"/>
      <w:numFmt w:val="decimal"/>
      <w:lvlText w:val="%1"/>
      <w:lvlJc w:val="left"/>
      <w:pPr>
        <w:tabs>
          <w:tab w:val="num" w:pos="360"/>
        </w:tabs>
        <w:ind w:left="360" w:hanging="360"/>
      </w:pPr>
      <w:rPr>
        <w:rFonts w:ascii="Times" w:hAnsi="Times" w:hint="default"/>
        <w:b/>
        <w:i w:val="0"/>
        <w:sz w:val="24"/>
      </w:rPr>
    </w:lvl>
    <w:lvl w:ilvl="1" w:tplc="728E560E">
      <w:numFmt w:val="none"/>
      <w:lvlText w:val=""/>
      <w:lvlJc w:val="left"/>
      <w:pPr>
        <w:tabs>
          <w:tab w:val="num" w:pos="360"/>
        </w:tabs>
      </w:pPr>
    </w:lvl>
    <w:lvl w:ilvl="2" w:tplc="F0D4B040">
      <w:numFmt w:val="none"/>
      <w:lvlText w:val=""/>
      <w:lvlJc w:val="left"/>
      <w:pPr>
        <w:tabs>
          <w:tab w:val="num" w:pos="360"/>
        </w:tabs>
      </w:pPr>
    </w:lvl>
    <w:lvl w:ilvl="3" w:tplc="28A6D8F4">
      <w:numFmt w:val="none"/>
      <w:lvlText w:val=""/>
      <w:lvlJc w:val="left"/>
      <w:pPr>
        <w:tabs>
          <w:tab w:val="num" w:pos="360"/>
        </w:tabs>
      </w:pPr>
    </w:lvl>
    <w:lvl w:ilvl="4" w:tplc="9CCCD51A">
      <w:numFmt w:val="none"/>
      <w:lvlText w:val=""/>
      <w:lvlJc w:val="left"/>
      <w:pPr>
        <w:tabs>
          <w:tab w:val="num" w:pos="360"/>
        </w:tabs>
      </w:pPr>
    </w:lvl>
    <w:lvl w:ilvl="5" w:tplc="FD1A9860">
      <w:numFmt w:val="none"/>
      <w:lvlText w:val=""/>
      <w:lvlJc w:val="left"/>
      <w:pPr>
        <w:tabs>
          <w:tab w:val="num" w:pos="360"/>
        </w:tabs>
      </w:pPr>
    </w:lvl>
    <w:lvl w:ilvl="6" w:tplc="039029AA">
      <w:numFmt w:val="none"/>
      <w:lvlText w:val=""/>
      <w:lvlJc w:val="left"/>
      <w:pPr>
        <w:tabs>
          <w:tab w:val="num" w:pos="360"/>
        </w:tabs>
      </w:pPr>
    </w:lvl>
    <w:lvl w:ilvl="7" w:tplc="B4EAE590">
      <w:numFmt w:val="none"/>
      <w:lvlText w:val=""/>
      <w:lvlJc w:val="left"/>
      <w:pPr>
        <w:tabs>
          <w:tab w:val="num" w:pos="360"/>
        </w:tabs>
      </w:pPr>
    </w:lvl>
    <w:lvl w:ilvl="8" w:tplc="78608990">
      <w:numFmt w:val="none"/>
      <w:lvlText w:val=""/>
      <w:lvlJc w:val="left"/>
      <w:pPr>
        <w:tabs>
          <w:tab w:val="num" w:pos="360"/>
        </w:tabs>
      </w:pPr>
    </w:lvl>
  </w:abstractNum>
  <w:abstractNum w:abstractNumId="25">
    <w:nsid w:val="5DD8601F"/>
    <w:multiLevelType w:val="hybridMultilevel"/>
    <w:tmpl w:val="BD14326C"/>
    <w:lvl w:ilvl="0" w:tplc="332438B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nsid w:val="61A1398A"/>
    <w:multiLevelType w:val="hybridMultilevel"/>
    <w:tmpl w:val="29E20E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nsid w:val="6A9A75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595174"/>
    <w:multiLevelType w:val="hybridMultilevel"/>
    <w:tmpl w:val="105046BE"/>
    <w:lvl w:ilvl="0" w:tplc="332438BA">
      <w:numFmt w:val="bullet"/>
      <w:lvlText w:val="-"/>
      <w:lvlJc w:val="left"/>
      <w:pPr>
        <w:ind w:left="890" w:hanging="360"/>
      </w:pPr>
      <w:rPr>
        <w:rFonts w:ascii="Times New Roman" w:eastAsia="Times New Roman" w:hAnsi="Times New Roman" w:cs="Times New Roman"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9">
    <w:nsid w:val="700539EC"/>
    <w:multiLevelType w:val="hybridMultilevel"/>
    <w:tmpl w:val="50647798"/>
    <w:lvl w:ilvl="0" w:tplc="59F21D6E">
      <w:numFmt w:val="bullet"/>
      <w:lvlText w:val="-"/>
      <w:lvlJc w:val="left"/>
      <w:pPr>
        <w:tabs>
          <w:tab w:val="num" w:pos="547"/>
        </w:tabs>
        <w:ind w:left="547" w:hanging="360"/>
      </w:pPr>
      <w:rPr>
        <w:rFonts w:ascii="Times New Roman" w:eastAsia="Times New Roman" w:hAnsi="Times New Roman"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0">
    <w:nsid w:val="73775F8A"/>
    <w:multiLevelType w:val="hybridMultilevel"/>
    <w:tmpl w:val="A602222E"/>
    <w:lvl w:ilvl="0" w:tplc="99BE9EAC">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1">
    <w:nsid w:val="771704BF"/>
    <w:multiLevelType w:val="hybridMultilevel"/>
    <w:tmpl w:val="93FA7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434B5F"/>
    <w:multiLevelType w:val="hybridMultilevel"/>
    <w:tmpl w:val="6A5CA65E"/>
    <w:lvl w:ilvl="0" w:tplc="332438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33EC3"/>
    <w:multiLevelType w:val="hybridMultilevel"/>
    <w:tmpl w:val="EED611AA"/>
    <w:lvl w:ilvl="0" w:tplc="332438BA">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nsid w:val="7F675683"/>
    <w:multiLevelType w:val="hybridMultilevel"/>
    <w:tmpl w:val="BE7AD0D6"/>
    <w:lvl w:ilvl="0" w:tplc="5290CA12">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5">
    <w:nsid w:val="7FB92B7D"/>
    <w:multiLevelType w:val="hybridMultilevel"/>
    <w:tmpl w:val="0F48C0E0"/>
    <w:lvl w:ilvl="0" w:tplc="332438BA">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4"/>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6"/>
  </w:num>
  <w:num w:numId="16">
    <w:abstractNumId w:val="19"/>
  </w:num>
  <w:num w:numId="17">
    <w:abstractNumId w:val="20"/>
  </w:num>
  <w:num w:numId="18">
    <w:abstractNumId w:val="11"/>
  </w:num>
  <w:num w:numId="19">
    <w:abstractNumId w:val="23"/>
  </w:num>
  <w:num w:numId="20">
    <w:abstractNumId w:val="18"/>
  </w:num>
  <w:num w:numId="21">
    <w:abstractNumId w:val="14"/>
  </w:num>
  <w:num w:numId="22">
    <w:abstractNumId w:val="29"/>
  </w:num>
  <w:num w:numId="23">
    <w:abstractNumId w:val="34"/>
  </w:num>
  <w:num w:numId="24">
    <w:abstractNumId w:val="16"/>
  </w:num>
  <w:num w:numId="25">
    <w:abstractNumId w:val="30"/>
  </w:num>
  <w:num w:numId="26">
    <w:abstractNumId w:val="13"/>
  </w:num>
  <w:num w:numId="27">
    <w:abstractNumId w:val="27"/>
  </w:num>
  <w:num w:numId="28">
    <w:abstractNumId w:val="22"/>
  </w:num>
  <w:num w:numId="29">
    <w:abstractNumId w:val="31"/>
  </w:num>
  <w:num w:numId="30">
    <w:abstractNumId w:val="12"/>
  </w:num>
  <w:num w:numId="31">
    <w:abstractNumId w:val="35"/>
  </w:num>
  <w:num w:numId="32">
    <w:abstractNumId w:val="33"/>
  </w:num>
  <w:num w:numId="33">
    <w:abstractNumId w:val="21"/>
  </w:num>
  <w:num w:numId="34">
    <w:abstractNumId w:val="25"/>
  </w:num>
  <w:num w:numId="35">
    <w:abstractNumId w:val="3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001"/>
  <w:defaultTabStop w:val="720"/>
  <w:drawingGridHorizontalSpacing w:val="100"/>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B75D5E"/>
    <w:rsid w:val="00034E6D"/>
    <w:rsid w:val="000450DB"/>
    <w:rsid w:val="00045BCA"/>
    <w:rsid w:val="0005060E"/>
    <w:rsid w:val="000507DF"/>
    <w:rsid w:val="00055EB2"/>
    <w:rsid w:val="00061BC3"/>
    <w:rsid w:val="000630FB"/>
    <w:rsid w:val="00064104"/>
    <w:rsid w:val="00072D79"/>
    <w:rsid w:val="00077C8D"/>
    <w:rsid w:val="00081B3C"/>
    <w:rsid w:val="00086803"/>
    <w:rsid w:val="00086824"/>
    <w:rsid w:val="00087419"/>
    <w:rsid w:val="00090367"/>
    <w:rsid w:val="00090C9E"/>
    <w:rsid w:val="00092F74"/>
    <w:rsid w:val="000935BA"/>
    <w:rsid w:val="0009485F"/>
    <w:rsid w:val="000952DF"/>
    <w:rsid w:val="00097B00"/>
    <w:rsid w:val="000A121B"/>
    <w:rsid w:val="000A4EE3"/>
    <w:rsid w:val="000B677E"/>
    <w:rsid w:val="000B740F"/>
    <w:rsid w:val="000B7570"/>
    <w:rsid w:val="000C1BD3"/>
    <w:rsid w:val="000C1C77"/>
    <w:rsid w:val="000C467C"/>
    <w:rsid w:val="000D6A7F"/>
    <w:rsid w:val="000D6BAB"/>
    <w:rsid w:val="000E0FF2"/>
    <w:rsid w:val="000E1BEA"/>
    <w:rsid w:val="000E2833"/>
    <w:rsid w:val="000E28E6"/>
    <w:rsid w:val="000E28FD"/>
    <w:rsid w:val="000E57D6"/>
    <w:rsid w:val="000E5E99"/>
    <w:rsid w:val="000F213C"/>
    <w:rsid w:val="000F335F"/>
    <w:rsid w:val="000F3D84"/>
    <w:rsid w:val="000F4A7D"/>
    <w:rsid w:val="000F7615"/>
    <w:rsid w:val="00101A9B"/>
    <w:rsid w:val="00112015"/>
    <w:rsid w:val="00113FC1"/>
    <w:rsid w:val="00115AB3"/>
    <w:rsid w:val="0011703D"/>
    <w:rsid w:val="001269F0"/>
    <w:rsid w:val="001316F2"/>
    <w:rsid w:val="001323CF"/>
    <w:rsid w:val="001407A0"/>
    <w:rsid w:val="00143394"/>
    <w:rsid w:val="001500B1"/>
    <w:rsid w:val="001576B0"/>
    <w:rsid w:val="00162CBE"/>
    <w:rsid w:val="00164E7B"/>
    <w:rsid w:val="00166D08"/>
    <w:rsid w:val="00171A90"/>
    <w:rsid w:val="00172087"/>
    <w:rsid w:val="00175956"/>
    <w:rsid w:val="00185AF2"/>
    <w:rsid w:val="00195227"/>
    <w:rsid w:val="00197E0F"/>
    <w:rsid w:val="001A2603"/>
    <w:rsid w:val="001A3708"/>
    <w:rsid w:val="001A7375"/>
    <w:rsid w:val="001B53E9"/>
    <w:rsid w:val="001B6C5E"/>
    <w:rsid w:val="001B7BC7"/>
    <w:rsid w:val="001C3CBF"/>
    <w:rsid w:val="001C50FC"/>
    <w:rsid w:val="001D0B28"/>
    <w:rsid w:val="001D6284"/>
    <w:rsid w:val="001D7B32"/>
    <w:rsid w:val="001E2ABC"/>
    <w:rsid w:val="001E5113"/>
    <w:rsid w:val="001F0399"/>
    <w:rsid w:val="001F39DA"/>
    <w:rsid w:val="001F47B3"/>
    <w:rsid w:val="00203E4B"/>
    <w:rsid w:val="002053F2"/>
    <w:rsid w:val="0021175F"/>
    <w:rsid w:val="0022296A"/>
    <w:rsid w:val="00223870"/>
    <w:rsid w:val="00223F10"/>
    <w:rsid w:val="00226A01"/>
    <w:rsid w:val="0023295D"/>
    <w:rsid w:val="00233C3B"/>
    <w:rsid w:val="00236FE7"/>
    <w:rsid w:val="00244AFE"/>
    <w:rsid w:val="00250CD0"/>
    <w:rsid w:val="0025290F"/>
    <w:rsid w:val="00254E29"/>
    <w:rsid w:val="00262E2F"/>
    <w:rsid w:val="0026704E"/>
    <w:rsid w:val="00295C06"/>
    <w:rsid w:val="00296155"/>
    <w:rsid w:val="002A5E98"/>
    <w:rsid w:val="002A7005"/>
    <w:rsid w:val="002B0F6E"/>
    <w:rsid w:val="002B3071"/>
    <w:rsid w:val="002C6318"/>
    <w:rsid w:val="002C6936"/>
    <w:rsid w:val="002D1084"/>
    <w:rsid w:val="002D1EC2"/>
    <w:rsid w:val="002D71CD"/>
    <w:rsid w:val="002E034E"/>
    <w:rsid w:val="002E1C21"/>
    <w:rsid w:val="002E2A89"/>
    <w:rsid w:val="002E4FBD"/>
    <w:rsid w:val="002F2896"/>
    <w:rsid w:val="002F36AF"/>
    <w:rsid w:val="003003BA"/>
    <w:rsid w:val="003075B4"/>
    <w:rsid w:val="003125B1"/>
    <w:rsid w:val="00317A3F"/>
    <w:rsid w:val="00317FEC"/>
    <w:rsid w:val="00333384"/>
    <w:rsid w:val="00337B6C"/>
    <w:rsid w:val="003412C6"/>
    <w:rsid w:val="00341907"/>
    <w:rsid w:val="0034419E"/>
    <w:rsid w:val="003475B1"/>
    <w:rsid w:val="0035589B"/>
    <w:rsid w:val="00371525"/>
    <w:rsid w:val="00373CE6"/>
    <w:rsid w:val="0037743E"/>
    <w:rsid w:val="00382378"/>
    <w:rsid w:val="00384EFA"/>
    <w:rsid w:val="00384F4A"/>
    <w:rsid w:val="00385333"/>
    <w:rsid w:val="00392E18"/>
    <w:rsid w:val="00394F4B"/>
    <w:rsid w:val="00395050"/>
    <w:rsid w:val="00396E47"/>
    <w:rsid w:val="003A11E9"/>
    <w:rsid w:val="003A7751"/>
    <w:rsid w:val="003B13DB"/>
    <w:rsid w:val="003B4D2F"/>
    <w:rsid w:val="003C0159"/>
    <w:rsid w:val="003C2560"/>
    <w:rsid w:val="003C2B35"/>
    <w:rsid w:val="003C52DD"/>
    <w:rsid w:val="003C6792"/>
    <w:rsid w:val="003D016C"/>
    <w:rsid w:val="003F5473"/>
    <w:rsid w:val="003F78C6"/>
    <w:rsid w:val="00407876"/>
    <w:rsid w:val="00420E07"/>
    <w:rsid w:val="00422439"/>
    <w:rsid w:val="00426036"/>
    <w:rsid w:val="00440079"/>
    <w:rsid w:val="004432D8"/>
    <w:rsid w:val="00456EEE"/>
    <w:rsid w:val="00457369"/>
    <w:rsid w:val="00457CE9"/>
    <w:rsid w:val="00466AE3"/>
    <w:rsid w:val="00466D98"/>
    <w:rsid w:val="00472F2B"/>
    <w:rsid w:val="0047635D"/>
    <w:rsid w:val="004828E8"/>
    <w:rsid w:val="00485CBF"/>
    <w:rsid w:val="00491143"/>
    <w:rsid w:val="00495AB3"/>
    <w:rsid w:val="00497ABE"/>
    <w:rsid w:val="004A1546"/>
    <w:rsid w:val="004A1EA5"/>
    <w:rsid w:val="004B076D"/>
    <w:rsid w:val="004B24FD"/>
    <w:rsid w:val="004B525F"/>
    <w:rsid w:val="004C0494"/>
    <w:rsid w:val="004C5D2A"/>
    <w:rsid w:val="004C6097"/>
    <w:rsid w:val="004D4942"/>
    <w:rsid w:val="004F2A1D"/>
    <w:rsid w:val="004F6ACA"/>
    <w:rsid w:val="005061AF"/>
    <w:rsid w:val="00515502"/>
    <w:rsid w:val="00533F49"/>
    <w:rsid w:val="00534A5E"/>
    <w:rsid w:val="00534FDC"/>
    <w:rsid w:val="00546E1A"/>
    <w:rsid w:val="00551E58"/>
    <w:rsid w:val="0055503F"/>
    <w:rsid w:val="005560E9"/>
    <w:rsid w:val="00557750"/>
    <w:rsid w:val="00566F38"/>
    <w:rsid w:val="0057365D"/>
    <w:rsid w:val="00575BD7"/>
    <w:rsid w:val="005779BE"/>
    <w:rsid w:val="00585264"/>
    <w:rsid w:val="0058773C"/>
    <w:rsid w:val="005904AA"/>
    <w:rsid w:val="005909C8"/>
    <w:rsid w:val="00593EF1"/>
    <w:rsid w:val="005970CE"/>
    <w:rsid w:val="005A3797"/>
    <w:rsid w:val="005A3D37"/>
    <w:rsid w:val="005A4B78"/>
    <w:rsid w:val="005A7CF3"/>
    <w:rsid w:val="005B319A"/>
    <w:rsid w:val="005B5B33"/>
    <w:rsid w:val="005B5CB2"/>
    <w:rsid w:val="005C0CB8"/>
    <w:rsid w:val="005C2299"/>
    <w:rsid w:val="005D3AA5"/>
    <w:rsid w:val="005E24F7"/>
    <w:rsid w:val="005F009E"/>
    <w:rsid w:val="005F133B"/>
    <w:rsid w:val="005F394C"/>
    <w:rsid w:val="005F6709"/>
    <w:rsid w:val="00602D8A"/>
    <w:rsid w:val="00607ECC"/>
    <w:rsid w:val="00612FA0"/>
    <w:rsid w:val="00613EE4"/>
    <w:rsid w:val="00622485"/>
    <w:rsid w:val="00622684"/>
    <w:rsid w:val="00623B93"/>
    <w:rsid w:val="0062585C"/>
    <w:rsid w:val="00626E19"/>
    <w:rsid w:val="00626EC8"/>
    <w:rsid w:val="006341C9"/>
    <w:rsid w:val="00640E0C"/>
    <w:rsid w:val="0064721C"/>
    <w:rsid w:val="00653A37"/>
    <w:rsid w:val="006560C3"/>
    <w:rsid w:val="00673204"/>
    <w:rsid w:val="006845B5"/>
    <w:rsid w:val="00686F65"/>
    <w:rsid w:val="006904F2"/>
    <w:rsid w:val="006A0774"/>
    <w:rsid w:val="006A6D1E"/>
    <w:rsid w:val="006B3F1A"/>
    <w:rsid w:val="006B5E94"/>
    <w:rsid w:val="006B76FA"/>
    <w:rsid w:val="006C2799"/>
    <w:rsid w:val="006C2A30"/>
    <w:rsid w:val="006C58CD"/>
    <w:rsid w:val="006C6F59"/>
    <w:rsid w:val="006C729D"/>
    <w:rsid w:val="006D0CF2"/>
    <w:rsid w:val="006D30F5"/>
    <w:rsid w:val="006D43E4"/>
    <w:rsid w:val="006E0BCC"/>
    <w:rsid w:val="006E329D"/>
    <w:rsid w:val="006E428A"/>
    <w:rsid w:val="006F244F"/>
    <w:rsid w:val="006F5788"/>
    <w:rsid w:val="006F69A8"/>
    <w:rsid w:val="00705D11"/>
    <w:rsid w:val="0070646A"/>
    <w:rsid w:val="007068BF"/>
    <w:rsid w:val="0071407C"/>
    <w:rsid w:val="00714815"/>
    <w:rsid w:val="00715987"/>
    <w:rsid w:val="0072251D"/>
    <w:rsid w:val="00722D8E"/>
    <w:rsid w:val="00724E53"/>
    <w:rsid w:val="00727777"/>
    <w:rsid w:val="0073169B"/>
    <w:rsid w:val="00734BEC"/>
    <w:rsid w:val="007417D0"/>
    <w:rsid w:val="00746B53"/>
    <w:rsid w:val="00757960"/>
    <w:rsid w:val="0076024C"/>
    <w:rsid w:val="00761218"/>
    <w:rsid w:val="00763A02"/>
    <w:rsid w:val="00770594"/>
    <w:rsid w:val="007759C0"/>
    <w:rsid w:val="00781520"/>
    <w:rsid w:val="0079149D"/>
    <w:rsid w:val="00792670"/>
    <w:rsid w:val="00795149"/>
    <w:rsid w:val="007965A9"/>
    <w:rsid w:val="007A4AF4"/>
    <w:rsid w:val="007A6822"/>
    <w:rsid w:val="007A7FD5"/>
    <w:rsid w:val="007B156A"/>
    <w:rsid w:val="007B5FC1"/>
    <w:rsid w:val="007B6184"/>
    <w:rsid w:val="007C05FA"/>
    <w:rsid w:val="007C4F7D"/>
    <w:rsid w:val="007D1D1F"/>
    <w:rsid w:val="007E2F3A"/>
    <w:rsid w:val="007E5325"/>
    <w:rsid w:val="007E6676"/>
    <w:rsid w:val="007E74DB"/>
    <w:rsid w:val="007F088B"/>
    <w:rsid w:val="007F1813"/>
    <w:rsid w:val="007F7B57"/>
    <w:rsid w:val="00801CB2"/>
    <w:rsid w:val="00803E53"/>
    <w:rsid w:val="0081254B"/>
    <w:rsid w:val="00816A0B"/>
    <w:rsid w:val="00820615"/>
    <w:rsid w:val="00820B34"/>
    <w:rsid w:val="00821415"/>
    <w:rsid w:val="0082204E"/>
    <w:rsid w:val="00824A71"/>
    <w:rsid w:val="00824CFE"/>
    <w:rsid w:val="00833A66"/>
    <w:rsid w:val="00834998"/>
    <w:rsid w:val="00834C3D"/>
    <w:rsid w:val="008370DB"/>
    <w:rsid w:val="008376C4"/>
    <w:rsid w:val="00842985"/>
    <w:rsid w:val="0084551F"/>
    <w:rsid w:val="008527AA"/>
    <w:rsid w:val="008562A6"/>
    <w:rsid w:val="00856EC3"/>
    <w:rsid w:val="00863346"/>
    <w:rsid w:val="00872541"/>
    <w:rsid w:val="008749CC"/>
    <w:rsid w:val="008810D8"/>
    <w:rsid w:val="00881617"/>
    <w:rsid w:val="00881BAC"/>
    <w:rsid w:val="0089378A"/>
    <w:rsid w:val="008A01FD"/>
    <w:rsid w:val="008A3251"/>
    <w:rsid w:val="008C44C7"/>
    <w:rsid w:val="008D71A3"/>
    <w:rsid w:val="008E09C6"/>
    <w:rsid w:val="0090381C"/>
    <w:rsid w:val="00903B55"/>
    <w:rsid w:val="00907743"/>
    <w:rsid w:val="00916ADB"/>
    <w:rsid w:val="009216F8"/>
    <w:rsid w:val="00924807"/>
    <w:rsid w:val="00941DBB"/>
    <w:rsid w:val="0095571D"/>
    <w:rsid w:val="00957F6E"/>
    <w:rsid w:val="00960AD0"/>
    <w:rsid w:val="00962CE9"/>
    <w:rsid w:val="00964B5D"/>
    <w:rsid w:val="00970AFB"/>
    <w:rsid w:val="00973EE7"/>
    <w:rsid w:val="009877D0"/>
    <w:rsid w:val="0099374A"/>
    <w:rsid w:val="00995061"/>
    <w:rsid w:val="009A70D9"/>
    <w:rsid w:val="009B0C4C"/>
    <w:rsid w:val="009B26BF"/>
    <w:rsid w:val="009C5D88"/>
    <w:rsid w:val="009C766B"/>
    <w:rsid w:val="009D066F"/>
    <w:rsid w:val="009D1438"/>
    <w:rsid w:val="009E06D5"/>
    <w:rsid w:val="009E2625"/>
    <w:rsid w:val="009E6208"/>
    <w:rsid w:val="009F25CA"/>
    <w:rsid w:val="009F3EDE"/>
    <w:rsid w:val="00A010CF"/>
    <w:rsid w:val="00A045D8"/>
    <w:rsid w:val="00A0491E"/>
    <w:rsid w:val="00A057F8"/>
    <w:rsid w:val="00A06B28"/>
    <w:rsid w:val="00A06E67"/>
    <w:rsid w:val="00A07FCB"/>
    <w:rsid w:val="00A1008D"/>
    <w:rsid w:val="00A13C2E"/>
    <w:rsid w:val="00A1578E"/>
    <w:rsid w:val="00A22CE6"/>
    <w:rsid w:val="00A24242"/>
    <w:rsid w:val="00A37943"/>
    <w:rsid w:val="00A42BEC"/>
    <w:rsid w:val="00A45AC9"/>
    <w:rsid w:val="00A47C45"/>
    <w:rsid w:val="00A55F2F"/>
    <w:rsid w:val="00A613F5"/>
    <w:rsid w:val="00A72E62"/>
    <w:rsid w:val="00A73190"/>
    <w:rsid w:val="00A74158"/>
    <w:rsid w:val="00A80486"/>
    <w:rsid w:val="00A8196B"/>
    <w:rsid w:val="00A87BC4"/>
    <w:rsid w:val="00A87C3D"/>
    <w:rsid w:val="00A91CBC"/>
    <w:rsid w:val="00A93C3A"/>
    <w:rsid w:val="00A9506E"/>
    <w:rsid w:val="00A960F9"/>
    <w:rsid w:val="00AA33EB"/>
    <w:rsid w:val="00AA452E"/>
    <w:rsid w:val="00AB1310"/>
    <w:rsid w:val="00AB41E4"/>
    <w:rsid w:val="00AB6B64"/>
    <w:rsid w:val="00AC3A9F"/>
    <w:rsid w:val="00AC3B53"/>
    <w:rsid w:val="00AD538F"/>
    <w:rsid w:val="00AF52C8"/>
    <w:rsid w:val="00B229FB"/>
    <w:rsid w:val="00B24F1B"/>
    <w:rsid w:val="00B30D3C"/>
    <w:rsid w:val="00B42930"/>
    <w:rsid w:val="00B42C46"/>
    <w:rsid w:val="00B42D8E"/>
    <w:rsid w:val="00B44858"/>
    <w:rsid w:val="00B47CCE"/>
    <w:rsid w:val="00B60D03"/>
    <w:rsid w:val="00B64DDA"/>
    <w:rsid w:val="00B72234"/>
    <w:rsid w:val="00B72A24"/>
    <w:rsid w:val="00B75D5E"/>
    <w:rsid w:val="00B75F8E"/>
    <w:rsid w:val="00B8454A"/>
    <w:rsid w:val="00B94A67"/>
    <w:rsid w:val="00B94DCF"/>
    <w:rsid w:val="00B97B09"/>
    <w:rsid w:val="00BA5280"/>
    <w:rsid w:val="00BA6BA8"/>
    <w:rsid w:val="00BB14D6"/>
    <w:rsid w:val="00BB1CD2"/>
    <w:rsid w:val="00BB5ACD"/>
    <w:rsid w:val="00BC0D56"/>
    <w:rsid w:val="00BC39FB"/>
    <w:rsid w:val="00BC515F"/>
    <w:rsid w:val="00BC6C9C"/>
    <w:rsid w:val="00BD15DC"/>
    <w:rsid w:val="00BD6E9C"/>
    <w:rsid w:val="00BE558C"/>
    <w:rsid w:val="00BF27DF"/>
    <w:rsid w:val="00BF490F"/>
    <w:rsid w:val="00C025F7"/>
    <w:rsid w:val="00C0271D"/>
    <w:rsid w:val="00C031E8"/>
    <w:rsid w:val="00C110BA"/>
    <w:rsid w:val="00C20BD4"/>
    <w:rsid w:val="00C20DE9"/>
    <w:rsid w:val="00C21E2B"/>
    <w:rsid w:val="00C32CD3"/>
    <w:rsid w:val="00C35715"/>
    <w:rsid w:val="00C35CE9"/>
    <w:rsid w:val="00C50A3D"/>
    <w:rsid w:val="00C550CD"/>
    <w:rsid w:val="00C57291"/>
    <w:rsid w:val="00C62436"/>
    <w:rsid w:val="00C625D1"/>
    <w:rsid w:val="00C83A07"/>
    <w:rsid w:val="00C8685C"/>
    <w:rsid w:val="00C8755C"/>
    <w:rsid w:val="00C97B98"/>
    <w:rsid w:val="00CB0215"/>
    <w:rsid w:val="00CB1F27"/>
    <w:rsid w:val="00CB315F"/>
    <w:rsid w:val="00CB6A1B"/>
    <w:rsid w:val="00CC0CE0"/>
    <w:rsid w:val="00CF0585"/>
    <w:rsid w:val="00CF09EE"/>
    <w:rsid w:val="00CF17E7"/>
    <w:rsid w:val="00CF2F40"/>
    <w:rsid w:val="00CF48F4"/>
    <w:rsid w:val="00D000F0"/>
    <w:rsid w:val="00D03DFB"/>
    <w:rsid w:val="00D10511"/>
    <w:rsid w:val="00D110B1"/>
    <w:rsid w:val="00D144F4"/>
    <w:rsid w:val="00D2222C"/>
    <w:rsid w:val="00D37FE0"/>
    <w:rsid w:val="00D50768"/>
    <w:rsid w:val="00D54259"/>
    <w:rsid w:val="00D542AC"/>
    <w:rsid w:val="00D5505C"/>
    <w:rsid w:val="00D550FB"/>
    <w:rsid w:val="00D602B0"/>
    <w:rsid w:val="00D60552"/>
    <w:rsid w:val="00D85E3E"/>
    <w:rsid w:val="00D8783B"/>
    <w:rsid w:val="00D9219F"/>
    <w:rsid w:val="00D92B50"/>
    <w:rsid w:val="00D9431A"/>
    <w:rsid w:val="00D94461"/>
    <w:rsid w:val="00DA0F19"/>
    <w:rsid w:val="00DA3E7A"/>
    <w:rsid w:val="00DB02D5"/>
    <w:rsid w:val="00DB3A0B"/>
    <w:rsid w:val="00DD1A90"/>
    <w:rsid w:val="00DD32B4"/>
    <w:rsid w:val="00DD3DD2"/>
    <w:rsid w:val="00DD7EDF"/>
    <w:rsid w:val="00DE79DC"/>
    <w:rsid w:val="00E007B4"/>
    <w:rsid w:val="00E101A7"/>
    <w:rsid w:val="00E14E5C"/>
    <w:rsid w:val="00E178EC"/>
    <w:rsid w:val="00E27307"/>
    <w:rsid w:val="00E35D99"/>
    <w:rsid w:val="00E35E39"/>
    <w:rsid w:val="00E36DF3"/>
    <w:rsid w:val="00E4401D"/>
    <w:rsid w:val="00E470EE"/>
    <w:rsid w:val="00E47FF9"/>
    <w:rsid w:val="00E52C77"/>
    <w:rsid w:val="00E60A5B"/>
    <w:rsid w:val="00E61B7B"/>
    <w:rsid w:val="00E65DA6"/>
    <w:rsid w:val="00E73143"/>
    <w:rsid w:val="00E81DAE"/>
    <w:rsid w:val="00EA32FC"/>
    <w:rsid w:val="00EA653A"/>
    <w:rsid w:val="00EB6183"/>
    <w:rsid w:val="00EC27D4"/>
    <w:rsid w:val="00EC2887"/>
    <w:rsid w:val="00EC5A89"/>
    <w:rsid w:val="00EC74E3"/>
    <w:rsid w:val="00EE27A2"/>
    <w:rsid w:val="00EE2CD4"/>
    <w:rsid w:val="00EE59B6"/>
    <w:rsid w:val="00EE7565"/>
    <w:rsid w:val="00EF3437"/>
    <w:rsid w:val="00EF58B3"/>
    <w:rsid w:val="00EF5F9A"/>
    <w:rsid w:val="00EF67DA"/>
    <w:rsid w:val="00F02A88"/>
    <w:rsid w:val="00F0481A"/>
    <w:rsid w:val="00F10D50"/>
    <w:rsid w:val="00F12605"/>
    <w:rsid w:val="00F1405C"/>
    <w:rsid w:val="00F14C84"/>
    <w:rsid w:val="00F279B2"/>
    <w:rsid w:val="00F32A0E"/>
    <w:rsid w:val="00F43B4B"/>
    <w:rsid w:val="00F4797F"/>
    <w:rsid w:val="00F52600"/>
    <w:rsid w:val="00F56385"/>
    <w:rsid w:val="00F64009"/>
    <w:rsid w:val="00F643B9"/>
    <w:rsid w:val="00F82495"/>
    <w:rsid w:val="00F85D59"/>
    <w:rsid w:val="00F86937"/>
    <w:rsid w:val="00F86953"/>
    <w:rsid w:val="00F872D9"/>
    <w:rsid w:val="00F9416B"/>
    <w:rsid w:val="00FA4B60"/>
    <w:rsid w:val="00FA4E53"/>
    <w:rsid w:val="00FA7132"/>
    <w:rsid w:val="00FB1196"/>
    <w:rsid w:val="00FB3A05"/>
    <w:rsid w:val="00FB448C"/>
    <w:rsid w:val="00FC62A5"/>
    <w:rsid w:val="00FC7F8E"/>
    <w:rsid w:val="00FD310B"/>
    <w:rsid w:val="00FD5653"/>
    <w:rsid w:val="00FD7137"/>
    <w:rsid w:val="00FE0E29"/>
    <w:rsid w:val="00FE3F33"/>
    <w:rsid w:val="00FE5BB6"/>
    <w:rsid w:val="00FF151E"/>
    <w:rsid w:val="00FF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DA"/>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
    <w:name w:val="Reference Text"/>
    <w:basedOn w:val="Normal"/>
    <w:link w:val="ReferenceTextChar"/>
    <w:autoRedefine/>
    <w:rsid w:val="00D10511"/>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B64DDA"/>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
    <w:name w:val="Reference Text Char"/>
    <w:basedOn w:val="DefaultParagraphFont"/>
    <w:link w:val="ReferenceText"/>
    <w:rsid w:val="00D10511"/>
    <w:rPr>
      <w:szCs w:val="24"/>
      <w:lang w:val="en-GB"/>
    </w:rPr>
  </w:style>
  <w:style w:type="table" w:styleId="TableGrid">
    <w:name w:val="Table Grid"/>
    <w:basedOn w:val="TableNormal"/>
    <w:rsid w:val="00803E5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64DDA"/>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C35715"/>
    <w:rPr>
      <w:rFonts w:ascii="Tahoma" w:hAnsi="Tahoma" w:cs="Tahoma"/>
      <w:sz w:val="16"/>
      <w:szCs w:val="16"/>
    </w:rPr>
  </w:style>
  <w:style w:type="character" w:customStyle="1" w:styleId="BalloonTextChar">
    <w:name w:val="Balloon Text Char"/>
    <w:basedOn w:val="DefaultParagraphFont"/>
    <w:link w:val="BalloonText"/>
    <w:uiPriority w:val="99"/>
    <w:semiHidden/>
    <w:rsid w:val="00C35715"/>
    <w:rPr>
      <w:rFonts w:ascii="Tahoma" w:hAnsi="Tahoma" w:cs="Tahoma"/>
      <w:sz w:val="16"/>
      <w:szCs w:val="16"/>
      <w:lang w:val="en-GB"/>
    </w:rPr>
  </w:style>
  <w:style w:type="paragraph" w:styleId="NormalWeb">
    <w:name w:val="Normal (Web)"/>
    <w:basedOn w:val="Normal"/>
    <w:uiPriority w:val="99"/>
    <w:unhideWhenUsed/>
    <w:rsid w:val="00E60A5B"/>
    <w:pPr>
      <w:spacing w:before="100" w:beforeAutospacing="1" w:after="100" w:afterAutospacing="1"/>
      <w:jc w:val="left"/>
    </w:pPr>
    <w:rPr>
      <w:rFonts w:ascii="Times New Roman" w:hAnsi="Times New Roman"/>
      <w:sz w:val="24"/>
      <w:lang w:val="en-US"/>
    </w:rPr>
  </w:style>
  <w:style w:type="paragraph" w:styleId="ListParagraph">
    <w:name w:val="List Paragraph"/>
    <w:basedOn w:val="Normal"/>
    <w:uiPriority w:val="34"/>
    <w:qFormat/>
    <w:rsid w:val="002B0F6E"/>
    <w:pPr>
      <w:ind w:left="720"/>
      <w:contextualSpacing/>
    </w:pPr>
  </w:style>
</w:styles>
</file>

<file path=word/webSettings.xml><?xml version="1.0" encoding="utf-8"?>
<w:webSettings xmlns:r="http://schemas.openxmlformats.org/officeDocument/2006/relationships" xmlns:w="http://schemas.openxmlformats.org/wordprocessingml/2006/main">
  <w:divs>
    <w:div w:id="275598381">
      <w:bodyDiv w:val="1"/>
      <w:marLeft w:val="0"/>
      <w:marRight w:val="0"/>
      <w:marTop w:val="0"/>
      <w:marBottom w:val="0"/>
      <w:divBdr>
        <w:top w:val="none" w:sz="0" w:space="0" w:color="auto"/>
        <w:left w:val="none" w:sz="0" w:space="0" w:color="auto"/>
        <w:bottom w:val="none" w:sz="0" w:space="0" w:color="auto"/>
        <w:right w:val="none" w:sz="0" w:space="0" w:color="auto"/>
      </w:divBdr>
    </w:div>
    <w:div w:id="323121351">
      <w:bodyDiv w:val="1"/>
      <w:marLeft w:val="0"/>
      <w:marRight w:val="0"/>
      <w:marTop w:val="0"/>
      <w:marBottom w:val="0"/>
      <w:divBdr>
        <w:top w:val="none" w:sz="0" w:space="0" w:color="auto"/>
        <w:left w:val="none" w:sz="0" w:space="0" w:color="auto"/>
        <w:bottom w:val="none" w:sz="0" w:space="0" w:color="auto"/>
        <w:right w:val="none" w:sz="0" w:space="0" w:color="auto"/>
      </w:divBdr>
      <w:divsChild>
        <w:div w:id="284048522">
          <w:marLeft w:val="0"/>
          <w:marRight w:val="0"/>
          <w:marTop w:val="0"/>
          <w:marBottom w:val="0"/>
          <w:divBdr>
            <w:top w:val="none" w:sz="0" w:space="0" w:color="auto"/>
            <w:left w:val="none" w:sz="0" w:space="0" w:color="auto"/>
            <w:bottom w:val="none" w:sz="0" w:space="0" w:color="auto"/>
            <w:right w:val="none" w:sz="0" w:space="0" w:color="auto"/>
          </w:divBdr>
          <w:divsChild>
            <w:div w:id="924073785">
              <w:marLeft w:val="0"/>
              <w:marRight w:val="0"/>
              <w:marTop w:val="270"/>
              <w:marBottom w:val="450"/>
              <w:divBdr>
                <w:top w:val="none" w:sz="0" w:space="0" w:color="auto"/>
                <w:left w:val="none" w:sz="0" w:space="0" w:color="auto"/>
                <w:bottom w:val="none" w:sz="0" w:space="0" w:color="auto"/>
                <w:right w:val="none" w:sz="0" w:space="0" w:color="auto"/>
              </w:divBdr>
              <w:divsChild>
                <w:div w:id="5850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2340">
      <w:bodyDiv w:val="1"/>
      <w:marLeft w:val="0"/>
      <w:marRight w:val="0"/>
      <w:marTop w:val="0"/>
      <w:marBottom w:val="0"/>
      <w:divBdr>
        <w:top w:val="none" w:sz="0" w:space="0" w:color="auto"/>
        <w:left w:val="none" w:sz="0" w:space="0" w:color="auto"/>
        <w:bottom w:val="none" w:sz="0" w:space="0" w:color="auto"/>
        <w:right w:val="none" w:sz="0" w:space="0" w:color="auto"/>
      </w:divBdr>
      <w:divsChild>
        <w:div w:id="477000096">
          <w:marLeft w:val="0"/>
          <w:marRight w:val="0"/>
          <w:marTop w:val="0"/>
          <w:marBottom w:val="0"/>
          <w:divBdr>
            <w:top w:val="none" w:sz="0" w:space="0" w:color="auto"/>
            <w:left w:val="none" w:sz="0" w:space="0" w:color="auto"/>
            <w:bottom w:val="none" w:sz="0" w:space="0" w:color="auto"/>
            <w:right w:val="none" w:sz="0" w:space="0" w:color="auto"/>
          </w:divBdr>
        </w:div>
      </w:divsChild>
    </w:div>
    <w:div w:id="608243707">
      <w:bodyDiv w:val="1"/>
      <w:marLeft w:val="0"/>
      <w:marRight w:val="0"/>
      <w:marTop w:val="0"/>
      <w:marBottom w:val="0"/>
      <w:divBdr>
        <w:top w:val="none" w:sz="0" w:space="0" w:color="auto"/>
        <w:left w:val="none" w:sz="0" w:space="0" w:color="auto"/>
        <w:bottom w:val="none" w:sz="0" w:space="0" w:color="auto"/>
        <w:right w:val="none" w:sz="0" w:space="0" w:color="auto"/>
      </w:divBdr>
    </w:div>
    <w:div w:id="624040818">
      <w:bodyDiv w:val="1"/>
      <w:marLeft w:val="0"/>
      <w:marRight w:val="0"/>
      <w:marTop w:val="0"/>
      <w:marBottom w:val="0"/>
      <w:divBdr>
        <w:top w:val="none" w:sz="0" w:space="0" w:color="auto"/>
        <w:left w:val="none" w:sz="0" w:space="0" w:color="auto"/>
        <w:bottom w:val="none" w:sz="0" w:space="0" w:color="auto"/>
        <w:right w:val="none" w:sz="0" w:space="0" w:color="auto"/>
      </w:divBdr>
    </w:div>
    <w:div w:id="844369881">
      <w:bodyDiv w:val="1"/>
      <w:marLeft w:val="0"/>
      <w:marRight w:val="0"/>
      <w:marTop w:val="0"/>
      <w:marBottom w:val="0"/>
      <w:divBdr>
        <w:top w:val="none" w:sz="0" w:space="0" w:color="auto"/>
        <w:left w:val="none" w:sz="0" w:space="0" w:color="auto"/>
        <w:bottom w:val="none" w:sz="0" w:space="0" w:color="auto"/>
        <w:right w:val="none" w:sz="0" w:space="0" w:color="auto"/>
      </w:divBdr>
    </w:div>
    <w:div w:id="1100293421">
      <w:bodyDiv w:val="1"/>
      <w:marLeft w:val="0"/>
      <w:marRight w:val="0"/>
      <w:marTop w:val="0"/>
      <w:marBottom w:val="0"/>
      <w:divBdr>
        <w:top w:val="none" w:sz="0" w:space="0" w:color="auto"/>
        <w:left w:val="none" w:sz="0" w:space="0" w:color="auto"/>
        <w:bottom w:val="none" w:sz="0" w:space="0" w:color="auto"/>
        <w:right w:val="none" w:sz="0" w:space="0" w:color="auto"/>
      </w:divBdr>
      <w:divsChild>
        <w:div w:id="628321973">
          <w:marLeft w:val="0"/>
          <w:marRight w:val="0"/>
          <w:marTop w:val="0"/>
          <w:marBottom w:val="0"/>
          <w:divBdr>
            <w:top w:val="none" w:sz="0" w:space="0" w:color="auto"/>
            <w:left w:val="none" w:sz="0" w:space="0" w:color="auto"/>
            <w:bottom w:val="none" w:sz="0" w:space="0" w:color="auto"/>
            <w:right w:val="none" w:sz="0" w:space="0" w:color="auto"/>
          </w:divBdr>
          <w:divsChild>
            <w:div w:id="1568415463">
              <w:marLeft w:val="0"/>
              <w:marRight w:val="0"/>
              <w:marTop w:val="270"/>
              <w:marBottom w:val="450"/>
              <w:divBdr>
                <w:top w:val="none" w:sz="0" w:space="0" w:color="auto"/>
                <w:left w:val="none" w:sz="0" w:space="0" w:color="auto"/>
                <w:bottom w:val="none" w:sz="0" w:space="0" w:color="auto"/>
                <w:right w:val="none" w:sz="0" w:space="0" w:color="auto"/>
              </w:divBdr>
              <w:divsChild>
                <w:div w:id="13698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dico.cern.ch/conferenceOtherViews.py?view=standard&amp;confId=10395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ndico.cern.ch/conferenceOtherViews.py?view=standard&amp;confId=103957" TargetMode="External"/><Relationship Id="rId17" Type="http://schemas.openxmlformats.org/officeDocument/2006/relationships/hyperlink" Target="http://indico.cern.ch/conferenceOtherViews.py?view=standard&amp;confId=103957" TargetMode="External"/><Relationship Id="rId2" Type="http://schemas.openxmlformats.org/officeDocument/2006/relationships/customXml" Target="../customXml/item1.xml"/><Relationship Id="rId16" Type="http://schemas.openxmlformats.org/officeDocument/2006/relationships/hyperlink" Target="http://indico.cern.ch/conferenceOtherViews.py?view=standard&amp;confId=103957"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space.cern.ch/lhcsplices/default.aspx" TargetMode="External"/><Relationship Id="rId5" Type="http://schemas.openxmlformats.org/officeDocument/2006/relationships/settings" Target="settings.xml"/><Relationship Id="rId15" Type="http://schemas.openxmlformats.org/officeDocument/2006/relationships/hyperlink" Target="http://www.youtube.com/watch?v=kVnYkJg-0R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indico.cern.ch/conferenceOtherViews.py?view=standard&amp;confId=103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5919-6740-423B-8BDA-B507F37A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5</Pages>
  <Words>3692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JACoW</dc:creator>
  <cp:keywords/>
  <dc:description/>
  <cp:lastModifiedBy>jtock</cp:lastModifiedBy>
  <cp:revision>60</cp:revision>
  <cp:lastPrinted>2012-02-27T18:56:00Z</cp:lastPrinted>
  <dcterms:created xsi:type="dcterms:W3CDTF">2012-02-08T06:05:00Z</dcterms:created>
  <dcterms:modified xsi:type="dcterms:W3CDTF">2012-02-27T19:42:00Z</dcterms:modified>
</cp:coreProperties>
</file>