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Default="00747D70" w:rsidP="00165665">
      <w:pPr>
        <w:pStyle w:val="Heading1"/>
      </w:pPr>
      <w:r>
        <w:t>Luminosity optimization and leveling</w:t>
      </w:r>
    </w:p>
    <w:p w:rsidR="00747D70" w:rsidRDefault="00165665" w:rsidP="00165665">
      <w:pPr>
        <w:pStyle w:val="AuthorList"/>
        <w:rPr>
          <w:lang w:val="en-US"/>
        </w:rPr>
      </w:pPr>
      <w:proofErr w:type="gramStart"/>
      <w:r w:rsidRPr="00747D70">
        <w:rPr>
          <w:kern w:val="16"/>
          <w:lang w:val="en-US"/>
        </w:rPr>
        <w:t>J. P</w:t>
      </w:r>
      <w:r w:rsidR="00747D70" w:rsidRPr="00747D70">
        <w:rPr>
          <w:kern w:val="16"/>
          <w:lang w:val="en-US"/>
        </w:rPr>
        <w:t xml:space="preserve">. </w:t>
      </w:r>
      <w:r w:rsidR="00747D70">
        <w:rPr>
          <w:kern w:val="16"/>
          <w:lang w:val="en-US"/>
        </w:rPr>
        <w:t>Koutchouk</w:t>
      </w:r>
      <w:r w:rsidRPr="00747D70">
        <w:rPr>
          <w:kern w:val="16"/>
          <w:lang w:val="en-US"/>
        </w:rPr>
        <w:t xml:space="preserve">, CERN, Geneva, </w:t>
      </w:r>
      <w:r w:rsidRPr="00747D70">
        <w:rPr>
          <w:lang w:val="en-US"/>
        </w:rPr>
        <w:t>Switzerland</w:t>
      </w:r>
      <w:r w:rsidR="00747D70">
        <w:rPr>
          <w:lang w:val="en-US"/>
        </w:rPr>
        <w:t>.</w:t>
      </w:r>
      <w:proofErr w:type="gramEnd"/>
    </w:p>
    <w:p w:rsidR="00165665" w:rsidRPr="00747D70" w:rsidRDefault="00165665" w:rsidP="00165665">
      <w:pPr>
        <w:pStyle w:val="AuthorList"/>
        <w:rPr>
          <w:kern w:val="16"/>
          <w:lang w:val="en-US"/>
        </w:rPr>
        <w:sectPr w:rsidR="00165665" w:rsidRPr="00747D70"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sidRPr="00747D70">
        <w:rPr>
          <w:kern w:val="16"/>
          <w:lang w:val="en-US"/>
        </w:rPr>
        <w:br/>
      </w:r>
    </w:p>
    <w:p w:rsidR="00165665" w:rsidRDefault="00165665" w:rsidP="00165665">
      <w:pPr>
        <w:pStyle w:val="AbstractTitle"/>
        <w:rPr>
          <w:kern w:val="16"/>
        </w:rPr>
      </w:pPr>
      <w:r>
        <w:rPr>
          <w:kern w:val="16"/>
        </w:rPr>
        <w:lastRenderedPageBreak/>
        <w:t>Abstract</w:t>
      </w:r>
    </w:p>
    <w:p w:rsidR="00165665" w:rsidRDefault="00F56AFB" w:rsidP="00165665">
      <w:pPr>
        <w:pStyle w:val="BodyTextIndent"/>
        <w:rPr>
          <w:kern w:val="16"/>
        </w:rPr>
      </w:pPr>
      <w:r>
        <w:rPr>
          <w:kern w:val="16"/>
        </w:rPr>
        <w:t xml:space="preserve">The Phase II of the LHC Upgrade is very ambitious with an increase by one order of magnitude of the machine </w:t>
      </w:r>
      <w:r w:rsidR="00BA6869">
        <w:rPr>
          <w:kern w:val="16"/>
        </w:rPr>
        <w:t>luminosity</w:t>
      </w:r>
      <w:r>
        <w:rPr>
          <w:kern w:val="16"/>
        </w:rPr>
        <w:t>. In this regime, the proton burning by the luminous collisions become</w:t>
      </w:r>
      <w:r w:rsidR="002D096D">
        <w:rPr>
          <w:kern w:val="16"/>
        </w:rPr>
        <w:t>s</w:t>
      </w:r>
      <w:r>
        <w:rPr>
          <w:kern w:val="16"/>
        </w:rPr>
        <w:t xml:space="preserve"> overwhelming, causing a rapid decay of the </w:t>
      </w:r>
      <w:r w:rsidR="00BA6869">
        <w:rPr>
          <w:kern w:val="16"/>
        </w:rPr>
        <w:t xml:space="preserve">beam currents and hence </w:t>
      </w:r>
      <w:r>
        <w:rPr>
          <w:kern w:val="16"/>
        </w:rPr>
        <w:t>luminosity. Simultaneously, the beam-beam forces are maximized by the search of high performance. This paper focuses on mitigations that should provide the requested high performance while minimizing the adverse effects of fast proton burning and strong beam-beam forces</w:t>
      </w:r>
      <w:r w:rsidR="002B57DD">
        <w:rPr>
          <w:kern w:val="16"/>
        </w:rPr>
        <w:t xml:space="preserve">. </w:t>
      </w:r>
      <w:r>
        <w:rPr>
          <w:kern w:val="16"/>
        </w:rPr>
        <w:t xml:space="preserve">One key ingredient is a luminosity levelling principle that potentially increases the integrated luminosity, contrary to the usual method contemplated. To minimize the limiting effect of long-range beam-beam collisions, wire compensation is shown to be effective and mature for implementation.  Finally, </w:t>
      </w:r>
      <w:r w:rsidR="00BA6869">
        <w:rPr>
          <w:kern w:val="16"/>
        </w:rPr>
        <w:t xml:space="preserve">possible </w:t>
      </w:r>
      <w:r>
        <w:rPr>
          <w:kern w:val="16"/>
        </w:rPr>
        <w:t xml:space="preserve">complementary provisions </w:t>
      </w:r>
      <w:r w:rsidR="002D096D">
        <w:rPr>
          <w:kern w:val="16"/>
        </w:rPr>
        <w:t>are given.</w:t>
      </w:r>
    </w:p>
    <w:p w:rsidR="00165665" w:rsidRDefault="0040657A" w:rsidP="00165665">
      <w:pPr>
        <w:pStyle w:val="Heading2"/>
        <w:spacing w:before="180"/>
      </w:pPr>
      <w:r>
        <w:t>Introduction</w:t>
      </w:r>
    </w:p>
    <w:p w:rsidR="0057425F" w:rsidRDefault="00FB0475" w:rsidP="00165665">
      <w:pPr>
        <w:pStyle w:val="BodyTextIndent"/>
        <w:rPr>
          <w:kern w:val="16"/>
        </w:rPr>
      </w:pPr>
      <w:r>
        <w:rPr>
          <w:kern w:val="16"/>
        </w:rPr>
        <w:t xml:space="preserve">It </w:t>
      </w:r>
      <w:r w:rsidR="00B34234">
        <w:rPr>
          <w:kern w:val="16"/>
        </w:rPr>
        <w:t xml:space="preserve">was </w:t>
      </w:r>
      <w:r>
        <w:rPr>
          <w:kern w:val="16"/>
        </w:rPr>
        <w:t>quite natural to start the studies of t</w:t>
      </w:r>
      <w:r w:rsidR="00831D17">
        <w:rPr>
          <w:kern w:val="16"/>
        </w:rPr>
        <w:t xml:space="preserve">he LHC upgrade by specifying </w:t>
      </w:r>
      <w:r w:rsidR="00B34234">
        <w:rPr>
          <w:kern w:val="16"/>
        </w:rPr>
        <w:t>the</w:t>
      </w:r>
      <w:r>
        <w:rPr>
          <w:kern w:val="16"/>
        </w:rPr>
        <w:t xml:space="preserve"> target peak luminosity </w:t>
      </w:r>
      <w:r w:rsidR="00831D17">
        <w:rPr>
          <w:kern w:val="16"/>
        </w:rPr>
        <w:t>(</w:t>
      </w:r>
      <w:r>
        <w:rPr>
          <w:kern w:val="16"/>
        </w:rPr>
        <w:t>10</w:t>
      </w:r>
      <w:r w:rsidRPr="00FB0475">
        <w:rPr>
          <w:kern w:val="16"/>
          <w:vertAlign w:val="superscript"/>
        </w:rPr>
        <w:t>35</w:t>
      </w:r>
      <w:r>
        <w:rPr>
          <w:kern w:val="16"/>
        </w:rPr>
        <w:t xml:space="preserve"> cm</w:t>
      </w:r>
      <w:r w:rsidRPr="00FB0475">
        <w:rPr>
          <w:kern w:val="16"/>
          <w:vertAlign w:val="superscript"/>
        </w:rPr>
        <w:t>-2</w:t>
      </w:r>
      <w:r>
        <w:rPr>
          <w:kern w:val="16"/>
        </w:rPr>
        <w:t>s</w:t>
      </w:r>
      <w:r w:rsidRPr="00FB0475">
        <w:rPr>
          <w:kern w:val="16"/>
          <w:vertAlign w:val="superscript"/>
        </w:rPr>
        <w:t>-1</w:t>
      </w:r>
      <w:r w:rsidR="00831D17">
        <w:rPr>
          <w:kern w:val="16"/>
        </w:rPr>
        <w:t>, i.e. 10 times the nominal one</w:t>
      </w:r>
      <w:proofErr w:type="gramStart"/>
      <w:r w:rsidR="00831D17">
        <w:rPr>
          <w:kern w:val="16"/>
        </w:rPr>
        <w:t>)[</w:t>
      </w:r>
      <w:proofErr w:type="gramEnd"/>
      <w:r w:rsidR="00831D17">
        <w:rPr>
          <w:kern w:val="16"/>
        </w:rPr>
        <w:t>1].</w:t>
      </w:r>
      <w:r>
        <w:rPr>
          <w:kern w:val="16"/>
        </w:rPr>
        <w:t xml:space="preserve">This quantity is indeed </w:t>
      </w:r>
      <w:r w:rsidR="00B34234">
        <w:rPr>
          <w:kern w:val="16"/>
        </w:rPr>
        <w:t>a predictable</w:t>
      </w:r>
      <w:r>
        <w:rPr>
          <w:kern w:val="16"/>
        </w:rPr>
        <w:t xml:space="preserve"> beam dynamics parameter that can be </w:t>
      </w:r>
      <w:r w:rsidR="00B34234">
        <w:rPr>
          <w:kern w:val="16"/>
        </w:rPr>
        <w:t>optimized</w:t>
      </w:r>
      <w:r>
        <w:rPr>
          <w:kern w:val="16"/>
        </w:rPr>
        <w:t xml:space="preserve"> in a feasibility study</w:t>
      </w:r>
      <w:r w:rsidR="00B34234">
        <w:rPr>
          <w:kern w:val="16"/>
        </w:rPr>
        <w:t>, contrary to the integrated luminosity that requires machine operation scenarios including a large number of qualitative hypotheses.</w:t>
      </w:r>
      <w:r>
        <w:rPr>
          <w:kern w:val="16"/>
        </w:rPr>
        <w:t xml:space="preserve"> This large increase in LHC </w:t>
      </w:r>
      <w:r w:rsidR="00B34234">
        <w:rPr>
          <w:kern w:val="16"/>
        </w:rPr>
        <w:t>luminosity</w:t>
      </w:r>
      <w:r>
        <w:rPr>
          <w:kern w:val="16"/>
        </w:rPr>
        <w:t xml:space="preserve"> however qualitatively changes the luminosity </w:t>
      </w:r>
      <w:r w:rsidR="0057425F">
        <w:rPr>
          <w:kern w:val="16"/>
        </w:rPr>
        <w:t xml:space="preserve">decay </w:t>
      </w:r>
      <w:r>
        <w:rPr>
          <w:kern w:val="16"/>
        </w:rPr>
        <w:t xml:space="preserve">regime: it becomes dominated by the proton burning. </w:t>
      </w:r>
      <w:r w:rsidR="0057425F">
        <w:rPr>
          <w:kern w:val="16"/>
        </w:rPr>
        <w:t>For the target luminosity, t</w:t>
      </w:r>
      <w:r>
        <w:rPr>
          <w:kern w:val="16"/>
        </w:rPr>
        <w:t>he luminosity lifetime becomes comparable to the time it takes to prepare the beams or carry out mild repairs that operations usually require.</w:t>
      </w:r>
      <w:r w:rsidR="0057425F">
        <w:rPr>
          <w:kern w:val="16"/>
        </w:rPr>
        <w:t xml:space="preserve"> A</w:t>
      </w:r>
      <w:r w:rsidR="00B34234">
        <w:rPr>
          <w:kern w:val="16"/>
        </w:rPr>
        <w:t xml:space="preserve"> mathematical</w:t>
      </w:r>
      <w:r w:rsidR="0057425F">
        <w:rPr>
          <w:kern w:val="16"/>
        </w:rPr>
        <w:t xml:space="preserve"> optimization </w:t>
      </w:r>
      <w:r w:rsidR="00720771">
        <w:rPr>
          <w:kern w:val="16"/>
        </w:rPr>
        <w:t>leading to</w:t>
      </w:r>
      <w:r w:rsidR="0057425F">
        <w:rPr>
          <w:kern w:val="16"/>
        </w:rPr>
        <w:t xml:space="preserve"> shortening the run duration may thus not be very realistic. Another approach is luminosity levelling. This topic has been occasionally mentioned, e.g. [2] and its actual potential </w:t>
      </w:r>
      <w:r w:rsidR="00720771">
        <w:rPr>
          <w:kern w:val="16"/>
        </w:rPr>
        <w:t xml:space="preserve">generally judged </w:t>
      </w:r>
      <w:r w:rsidR="0057425F">
        <w:rPr>
          <w:kern w:val="16"/>
        </w:rPr>
        <w:t xml:space="preserve">rather controversial. Lately, a new principle has been proposed [3] and studied in detail for one of the upgrade path [4]. Its increased potential and ease in implementation allows re-considering luminosity </w:t>
      </w:r>
      <w:r w:rsidR="00266744">
        <w:rPr>
          <w:kern w:val="16"/>
        </w:rPr>
        <w:t>levelling</w:t>
      </w:r>
      <w:r w:rsidR="0057425F">
        <w:rPr>
          <w:kern w:val="16"/>
        </w:rPr>
        <w:t xml:space="preserve">. </w:t>
      </w:r>
    </w:p>
    <w:p w:rsidR="00266744" w:rsidRDefault="0057425F" w:rsidP="00165665">
      <w:pPr>
        <w:pStyle w:val="BodyTextIndent"/>
        <w:rPr>
          <w:kern w:val="16"/>
        </w:rPr>
      </w:pPr>
      <w:r>
        <w:rPr>
          <w:kern w:val="16"/>
        </w:rPr>
        <w:t xml:space="preserve">While the luminosity decay due to proton burning can be </w:t>
      </w:r>
      <w:r w:rsidR="00266744">
        <w:rPr>
          <w:kern w:val="16"/>
        </w:rPr>
        <w:t>easily</w:t>
      </w:r>
      <w:r>
        <w:rPr>
          <w:kern w:val="16"/>
        </w:rPr>
        <w:t xml:space="preserve"> anticipated, the adverse impact of </w:t>
      </w:r>
      <w:r w:rsidR="00266744">
        <w:rPr>
          <w:kern w:val="16"/>
        </w:rPr>
        <w:t>the</w:t>
      </w:r>
      <w:r>
        <w:rPr>
          <w:kern w:val="16"/>
        </w:rPr>
        <w:t xml:space="preserve"> strong beam-beam effect </w:t>
      </w:r>
      <w:r w:rsidR="00266744">
        <w:rPr>
          <w:kern w:val="16"/>
        </w:rPr>
        <w:t xml:space="preserve">arising from increased performance </w:t>
      </w:r>
      <w:r w:rsidR="00787CAF">
        <w:rPr>
          <w:kern w:val="16"/>
        </w:rPr>
        <w:t xml:space="preserve">shall be the </w:t>
      </w:r>
      <w:r w:rsidR="00396004">
        <w:rPr>
          <w:kern w:val="16"/>
        </w:rPr>
        <w:t>ultimate</w:t>
      </w:r>
      <w:r w:rsidR="006A036D">
        <w:rPr>
          <w:kern w:val="16"/>
        </w:rPr>
        <w:t xml:space="preserve"> </w:t>
      </w:r>
      <w:r w:rsidR="00787CAF">
        <w:rPr>
          <w:kern w:val="16"/>
        </w:rPr>
        <w:t>performance limit</w:t>
      </w:r>
      <w:r w:rsidR="006A036D">
        <w:rPr>
          <w:kern w:val="16"/>
        </w:rPr>
        <w:t>.</w:t>
      </w:r>
      <w:r w:rsidR="00787CAF">
        <w:rPr>
          <w:kern w:val="16"/>
        </w:rPr>
        <w:t xml:space="preserve"> </w:t>
      </w:r>
      <w:r w:rsidR="006A036D">
        <w:rPr>
          <w:kern w:val="16"/>
        </w:rPr>
        <w:t xml:space="preserve">It is known </w:t>
      </w:r>
      <w:r w:rsidR="00831D17">
        <w:rPr>
          <w:kern w:val="16"/>
        </w:rPr>
        <w:t xml:space="preserve">after </w:t>
      </w:r>
      <w:r w:rsidR="006A036D">
        <w:rPr>
          <w:kern w:val="16"/>
        </w:rPr>
        <w:t>a large number of simulation studies that t</w:t>
      </w:r>
      <w:r w:rsidR="00266744">
        <w:rPr>
          <w:kern w:val="16"/>
        </w:rPr>
        <w:t xml:space="preserve">he long-range beam-beam effect </w:t>
      </w:r>
      <w:r w:rsidR="006A036D">
        <w:rPr>
          <w:kern w:val="16"/>
        </w:rPr>
        <w:t>is</w:t>
      </w:r>
      <w:r w:rsidR="00266744">
        <w:rPr>
          <w:kern w:val="16"/>
        </w:rPr>
        <w:t xml:space="preserve"> the performance limit</w:t>
      </w:r>
      <w:r w:rsidR="006A036D">
        <w:rPr>
          <w:kern w:val="16"/>
        </w:rPr>
        <w:t xml:space="preserve"> for the nominal LHC</w:t>
      </w:r>
      <w:r w:rsidR="00266744">
        <w:rPr>
          <w:kern w:val="16"/>
        </w:rPr>
        <w:t xml:space="preserve">. </w:t>
      </w:r>
      <w:r w:rsidR="006A036D">
        <w:rPr>
          <w:kern w:val="16"/>
        </w:rPr>
        <w:t xml:space="preserve">A compensation scheme was </w:t>
      </w:r>
      <w:r w:rsidR="00266744">
        <w:rPr>
          <w:kern w:val="16"/>
        </w:rPr>
        <w:t>proposed [5]</w:t>
      </w:r>
      <w:r w:rsidR="006A036D">
        <w:rPr>
          <w:kern w:val="16"/>
        </w:rPr>
        <w:t xml:space="preserve"> in 2000</w:t>
      </w:r>
      <w:r w:rsidR="00266744">
        <w:rPr>
          <w:kern w:val="16"/>
        </w:rPr>
        <w:t xml:space="preserve">. Since then, a number of studies, numerical and experimental, have taken place that </w:t>
      </w:r>
      <w:r w:rsidR="00831D17">
        <w:rPr>
          <w:kern w:val="16"/>
        </w:rPr>
        <w:t>can now allow conclusions for decision making.</w:t>
      </w:r>
      <w:r w:rsidR="006A036D">
        <w:rPr>
          <w:kern w:val="16"/>
        </w:rPr>
        <w:t xml:space="preserve"> Other proposals exist</w:t>
      </w:r>
      <w:r w:rsidR="00266744">
        <w:rPr>
          <w:kern w:val="16"/>
        </w:rPr>
        <w:t xml:space="preserve"> </w:t>
      </w:r>
      <w:r w:rsidR="006A036D">
        <w:rPr>
          <w:kern w:val="16"/>
        </w:rPr>
        <w:lastRenderedPageBreak/>
        <w:t xml:space="preserve">(electron-lens compensation, fully coupled crossing) that </w:t>
      </w:r>
      <w:r w:rsidR="00006C10">
        <w:rPr>
          <w:kern w:val="16"/>
        </w:rPr>
        <w:t>are mentioned.</w:t>
      </w:r>
      <w:r w:rsidR="00266744">
        <w:rPr>
          <w:kern w:val="16"/>
        </w:rPr>
        <w:t xml:space="preserve"> </w:t>
      </w:r>
    </w:p>
    <w:p w:rsidR="00266744" w:rsidRDefault="00266744" w:rsidP="00266744">
      <w:pPr>
        <w:pStyle w:val="Heading2"/>
      </w:pPr>
      <w:r>
        <w:t>Operations efficiency</w:t>
      </w:r>
    </w:p>
    <w:p w:rsidR="00CC1A6E" w:rsidRDefault="00887F31" w:rsidP="00165665">
      <w:pPr>
        <w:pStyle w:val="BodyTextIndent"/>
        <w:rPr>
          <w:kern w:val="16"/>
        </w:rPr>
      </w:pPr>
      <w:r>
        <w:rPr>
          <w:kern w:val="16"/>
        </w:rPr>
        <w:t xml:space="preserve">Before considering sophisticated means for upgrading the LHC </w:t>
      </w:r>
      <w:r w:rsidR="00B349B5">
        <w:rPr>
          <w:kern w:val="16"/>
        </w:rPr>
        <w:t xml:space="preserve">luminosity, it appears worth </w:t>
      </w:r>
      <w:r>
        <w:rPr>
          <w:kern w:val="16"/>
        </w:rPr>
        <w:t>consider</w:t>
      </w:r>
      <w:r w:rsidR="00B349B5">
        <w:rPr>
          <w:kern w:val="16"/>
        </w:rPr>
        <w:t>ing</w:t>
      </w:r>
      <w:r>
        <w:rPr>
          <w:kern w:val="16"/>
        </w:rPr>
        <w:t xml:space="preserve"> the potential in improving the operations efficiency. This approach is indeed</w:t>
      </w:r>
      <w:r w:rsidR="00CC1A6E">
        <w:rPr>
          <w:kern w:val="16"/>
        </w:rPr>
        <w:t xml:space="preserve"> systematically pursued to improve the integrated luminosity of colliders. At the time of the LHC upgrade</w:t>
      </w:r>
      <w:r>
        <w:rPr>
          <w:kern w:val="16"/>
        </w:rPr>
        <w:t xml:space="preserve"> however</w:t>
      </w:r>
      <w:r w:rsidR="00CC1A6E">
        <w:rPr>
          <w:kern w:val="16"/>
        </w:rPr>
        <w:t xml:space="preserve">, </w:t>
      </w:r>
      <w:r w:rsidR="00B84261">
        <w:rPr>
          <w:kern w:val="16"/>
        </w:rPr>
        <w:t xml:space="preserve">we can speculate that </w:t>
      </w:r>
      <w:r w:rsidR="00CC1A6E">
        <w:rPr>
          <w:kern w:val="16"/>
        </w:rPr>
        <w:t xml:space="preserve">the corresponding reserve in performance improvement should have been exhausted. </w:t>
      </w:r>
    </w:p>
    <w:p w:rsidR="00CC1A6E" w:rsidRDefault="00B84261" w:rsidP="00662C6C">
      <w:pPr>
        <w:pStyle w:val="BodyTextIndent"/>
        <w:rPr>
          <w:kern w:val="16"/>
        </w:rPr>
      </w:pPr>
      <w:r>
        <w:rPr>
          <w:kern w:val="16"/>
        </w:rPr>
        <w:t>Indeed, g</w:t>
      </w:r>
      <w:r w:rsidR="00A14D2F">
        <w:rPr>
          <w:kern w:val="16"/>
        </w:rPr>
        <w:t>iven its</w:t>
      </w:r>
      <w:r w:rsidR="00CC1A6E">
        <w:rPr>
          <w:kern w:val="16"/>
        </w:rPr>
        <w:t xml:space="preserve"> expected complexity, the LHC has been</w:t>
      </w:r>
      <w:r w:rsidR="00A14D2F">
        <w:rPr>
          <w:kern w:val="16"/>
        </w:rPr>
        <w:t xml:space="preserve"> equipped with </w:t>
      </w:r>
      <w:r w:rsidR="000850D5">
        <w:rPr>
          <w:kern w:val="16"/>
        </w:rPr>
        <w:t>outstanding</w:t>
      </w:r>
      <w:r w:rsidR="00A14D2F">
        <w:rPr>
          <w:kern w:val="16"/>
        </w:rPr>
        <w:t xml:space="preserve"> beam instrumentation and </w:t>
      </w:r>
      <w:r w:rsidR="000850D5">
        <w:rPr>
          <w:kern w:val="16"/>
        </w:rPr>
        <w:t xml:space="preserve">a variety of powerful </w:t>
      </w:r>
      <w:r w:rsidR="00CC1A6E">
        <w:rPr>
          <w:kern w:val="16"/>
        </w:rPr>
        <w:t xml:space="preserve">linear and non-linear </w:t>
      </w:r>
      <w:r w:rsidR="00887F31">
        <w:rPr>
          <w:kern w:val="16"/>
        </w:rPr>
        <w:t xml:space="preserve">families of </w:t>
      </w:r>
      <w:r w:rsidR="000850D5">
        <w:rPr>
          <w:kern w:val="16"/>
        </w:rPr>
        <w:t>correction</w:t>
      </w:r>
      <w:r w:rsidR="00A14D2F">
        <w:rPr>
          <w:kern w:val="16"/>
        </w:rPr>
        <w:t xml:space="preserve"> circuits</w:t>
      </w:r>
      <w:r w:rsidR="00CC1A6E">
        <w:rPr>
          <w:kern w:val="16"/>
        </w:rPr>
        <w:t>. They already allowed to measure and understand the LHC at injection in a</w:t>
      </w:r>
      <w:r w:rsidR="00887F31">
        <w:rPr>
          <w:kern w:val="16"/>
        </w:rPr>
        <w:t xml:space="preserve">n exceptionally short time as compared to former experience. </w:t>
      </w:r>
      <w:r w:rsidR="009A4A2F">
        <w:rPr>
          <w:kern w:val="16"/>
        </w:rPr>
        <w:t>These instruments and correctors</w:t>
      </w:r>
      <w:r w:rsidR="00887F31">
        <w:rPr>
          <w:kern w:val="16"/>
        </w:rPr>
        <w:t xml:space="preserve"> have the potential of automated</w:t>
      </w:r>
      <w:r w:rsidR="00A14D2F">
        <w:rPr>
          <w:kern w:val="16"/>
        </w:rPr>
        <w:t xml:space="preserve"> feedback on all quantities normally controlled during operations</w:t>
      </w:r>
      <w:r w:rsidR="00B349B5">
        <w:rPr>
          <w:kern w:val="16"/>
        </w:rPr>
        <w:t xml:space="preserve"> (and beyond)</w:t>
      </w:r>
      <w:r w:rsidR="00A14D2F">
        <w:rPr>
          <w:kern w:val="16"/>
        </w:rPr>
        <w:t xml:space="preserve">. </w:t>
      </w:r>
      <w:r w:rsidR="00CC1A6E">
        <w:rPr>
          <w:kern w:val="16"/>
        </w:rPr>
        <w:t>Therefore, unless qualitatively new and not reproducible beam dynamics phenomena occur, a turn-around t</w:t>
      </w:r>
      <w:r w:rsidR="00887F31">
        <w:rPr>
          <w:kern w:val="16"/>
        </w:rPr>
        <w:t>ime</w:t>
      </w:r>
      <w:r w:rsidR="00CC1A6E">
        <w:rPr>
          <w:kern w:val="16"/>
        </w:rPr>
        <w:t xml:space="preserve"> reas</w:t>
      </w:r>
      <w:r w:rsidR="00887F31">
        <w:rPr>
          <w:kern w:val="16"/>
        </w:rPr>
        <w:t>onably close to the minimal one should be at hand</w:t>
      </w:r>
      <w:r w:rsidR="009A4A2F">
        <w:rPr>
          <w:kern w:val="16"/>
        </w:rPr>
        <w:t>, excluding down-time</w:t>
      </w:r>
      <w:r w:rsidR="00887F31">
        <w:rPr>
          <w:kern w:val="16"/>
        </w:rPr>
        <w:t xml:space="preserve">. Automatic injection and acceleration would not be a new unexplored field. </w:t>
      </w:r>
      <w:r>
        <w:rPr>
          <w:kern w:val="16"/>
        </w:rPr>
        <w:t>Already i</w:t>
      </w:r>
      <w:r w:rsidR="00887F31">
        <w:rPr>
          <w:kern w:val="16"/>
        </w:rPr>
        <w:t>n the 1980’s the ISR beam was automatically injected and accelerated at an intensi</w:t>
      </w:r>
      <w:r w:rsidR="009A4A2F">
        <w:rPr>
          <w:kern w:val="16"/>
        </w:rPr>
        <w:t>ty level about 5 to 10 times above its</w:t>
      </w:r>
      <w:r w:rsidR="00887F31">
        <w:rPr>
          <w:kern w:val="16"/>
        </w:rPr>
        <w:t xml:space="preserve"> natural stability level. To recover stability, automatic injection involved </w:t>
      </w:r>
      <w:r w:rsidR="00B349B5">
        <w:rPr>
          <w:kern w:val="16"/>
        </w:rPr>
        <w:t xml:space="preserve">automatic </w:t>
      </w:r>
      <w:r w:rsidR="009A4A2F">
        <w:rPr>
          <w:kern w:val="16"/>
        </w:rPr>
        <w:t xml:space="preserve">periodic </w:t>
      </w:r>
      <w:r w:rsidR="00887F31">
        <w:rPr>
          <w:kern w:val="16"/>
        </w:rPr>
        <w:t xml:space="preserve">measurements of the longitudinal beam distribution by </w:t>
      </w:r>
      <w:proofErr w:type="spellStart"/>
      <w:r w:rsidR="00887F31">
        <w:rPr>
          <w:kern w:val="16"/>
        </w:rPr>
        <w:t>Schottky</w:t>
      </w:r>
      <w:proofErr w:type="spellEnd"/>
      <w:r w:rsidR="00887F31">
        <w:rPr>
          <w:kern w:val="16"/>
        </w:rPr>
        <w:t xml:space="preserve"> scans, </w:t>
      </w:r>
      <w:r w:rsidR="009A4A2F">
        <w:rPr>
          <w:kern w:val="16"/>
        </w:rPr>
        <w:t xml:space="preserve">and suitable mathematical transformations to compute non-linear corrections from </w:t>
      </w:r>
      <w:proofErr w:type="spellStart"/>
      <w:r w:rsidR="009A4A2F">
        <w:rPr>
          <w:kern w:val="16"/>
        </w:rPr>
        <w:t>quadrupole</w:t>
      </w:r>
      <w:proofErr w:type="spellEnd"/>
      <w:r w:rsidR="009A4A2F">
        <w:rPr>
          <w:kern w:val="16"/>
        </w:rPr>
        <w:t xml:space="preserve"> to </w:t>
      </w:r>
      <w:proofErr w:type="spellStart"/>
      <w:r w:rsidR="009A4A2F">
        <w:rPr>
          <w:kern w:val="16"/>
        </w:rPr>
        <w:t>dodecapole</w:t>
      </w:r>
      <w:proofErr w:type="spellEnd"/>
      <w:r w:rsidR="009A4A2F">
        <w:rPr>
          <w:kern w:val="16"/>
        </w:rPr>
        <w:t xml:space="preserve"> to stabilize on-line the beams by effectively keeping quasi-invariant the transverse stability diagram.</w:t>
      </w:r>
    </w:p>
    <w:p w:rsidR="00B84261" w:rsidRDefault="00B84261" w:rsidP="00662C6C">
      <w:pPr>
        <w:pStyle w:val="BodyTextIndent"/>
        <w:rPr>
          <w:kern w:val="16"/>
        </w:rPr>
      </w:pPr>
      <w:r>
        <w:rPr>
          <w:kern w:val="16"/>
        </w:rPr>
        <w:t>We can therefore reasonably assume</w:t>
      </w:r>
      <w:r w:rsidR="00D718A5">
        <w:rPr>
          <w:kern w:val="16"/>
        </w:rPr>
        <w:t xml:space="preserve"> that the reserve in performance improvement arising from better operations efficiency at the time of the LHC upgrade should only offer a modest contribution compared to the ambitious goal of the upgrade.</w:t>
      </w:r>
    </w:p>
    <w:p w:rsidR="00356F52" w:rsidRDefault="00356F52" w:rsidP="00356F52">
      <w:pPr>
        <w:pStyle w:val="Heading2"/>
      </w:pPr>
      <w:r>
        <w:t>Why Luminosity levelling in sLHC?</w:t>
      </w:r>
    </w:p>
    <w:p w:rsidR="00356F52" w:rsidRPr="0093374E" w:rsidRDefault="00356F52" w:rsidP="00356F52">
      <w:pPr>
        <w:pStyle w:val="BodyTextIndent"/>
      </w:pPr>
      <w:r>
        <w:t xml:space="preserve">The luminosity decay in many storage rings is dominated by parasitic effects, such as the </w:t>
      </w:r>
      <w:proofErr w:type="spellStart"/>
      <w:r>
        <w:t>emittance</w:t>
      </w:r>
      <w:proofErr w:type="spellEnd"/>
      <w:r>
        <w:t xml:space="preserve"> blow-up induced by side-effects of the beam-beam interactions. </w:t>
      </w:r>
      <w:r w:rsidR="00F538AB">
        <w:t>With o</w:t>
      </w:r>
      <w:r>
        <w:t>perational experience</w:t>
      </w:r>
      <w:r w:rsidR="00F538AB">
        <w:t>,</w:t>
      </w:r>
      <w:r>
        <w:t xml:space="preserve"> the luminosity lifetime </w:t>
      </w:r>
      <w:r w:rsidR="00F538AB">
        <w:t>recove</w:t>
      </w:r>
      <w:r w:rsidR="00320F6E">
        <w:t xml:space="preserve">rs towards its predictable </w:t>
      </w:r>
      <w:proofErr w:type="spellStart"/>
      <w:r w:rsidR="00320F6E">
        <w:t>llvel</w:t>
      </w:r>
      <w:proofErr w:type="spellEnd"/>
      <w:r w:rsidR="00F538AB">
        <w:t>.</w:t>
      </w:r>
      <w:r w:rsidR="00DB0F98">
        <w:t xml:space="preserve"> </w:t>
      </w:r>
      <w:proofErr w:type="spellStart"/>
      <w:proofErr w:type="gramStart"/>
      <w:r w:rsidR="00DB0F98">
        <w:t>s</w:t>
      </w:r>
      <w:r>
        <w:t>LHC</w:t>
      </w:r>
      <w:proofErr w:type="spellEnd"/>
      <w:proofErr w:type="gramEnd"/>
      <w:r>
        <w:t xml:space="preserve"> enters a new regime</w:t>
      </w:r>
      <w:r w:rsidR="00DB0F98">
        <w:t xml:space="preserve"> where a fast unavoidable luminosity decay is due to the proton burning in the luminous collisions. </w:t>
      </w:r>
      <w:r w:rsidR="0093374E">
        <w:t xml:space="preserve">For example, table I shows the overwhelming predominance of the proton burning in a scenario where </w:t>
      </w:r>
      <w:r w:rsidR="0093374E">
        <w:lastRenderedPageBreak/>
        <w:t xml:space="preserve">the peak luminosity of </w:t>
      </w:r>
      <w:r w:rsidR="0093374E">
        <w:rPr>
          <w:kern w:val="16"/>
        </w:rPr>
        <w:t>10</w:t>
      </w:r>
      <w:r w:rsidR="0093374E" w:rsidRPr="00FB0475">
        <w:rPr>
          <w:kern w:val="16"/>
          <w:vertAlign w:val="superscript"/>
        </w:rPr>
        <w:t>35</w:t>
      </w:r>
      <w:r w:rsidR="0093374E">
        <w:rPr>
          <w:kern w:val="16"/>
        </w:rPr>
        <w:t xml:space="preserve"> cm</w:t>
      </w:r>
      <w:r w:rsidR="0093374E" w:rsidRPr="00FB0475">
        <w:rPr>
          <w:kern w:val="16"/>
          <w:vertAlign w:val="superscript"/>
        </w:rPr>
        <w:t>-2</w:t>
      </w:r>
      <w:r w:rsidR="0093374E">
        <w:rPr>
          <w:kern w:val="16"/>
        </w:rPr>
        <w:t>s</w:t>
      </w:r>
      <w:r w:rsidR="0093374E" w:rsidRPr="00FB0475">
        <w:rPr>
          <w:kern w:val="16"/>
          <w:vertAlign w:val="superscript"/>
        </w:rPr>
        <w:t>-1</w:t>
      </w:r>
      <w:r w:rsidR="0093374E">
        <w:rPr>
          <w:kern w:val="16"/>
        </w:rPr>
        <w:t xml:space="preserve"> is obtained by increasing the bunch charge to 2.3 10</w:t>
      </w:r>
      <w:r w:rsidR="0093374E" w:rsidRPr="0093374E">
        <w:rPr>
          <w:kern w:val="16"/>
          <w:vertAlign w:val="superscript"/>
        </w:rPr>
        <w:t>11</w:t>
      </w:r>
      <w:r w:rsidR="0093374E">
        <w:rPr>
          <w:kern w:val="16"/>
        </w:rPr>
        <w:t xml:space="preserve"> ppb, reducing the </w:t>
      </w:r>
      <w:r w:rsidR="0093374E">
        <w:rPr>
          <w:kern w:val="16"/>
        </w:rPr>
        <w:sym w:font="Symbol" w:char="F062"/>
      </w:r>
      <w:r w:rsidR="0093374E" w:rsidRPr="0093374E">
        <w:rPr>
          <w:kern w:val="16"/>
          <w:vertAlign w:val="superscript"/>
        </w:rPr>
        <w:t>*</w:t>
      </w:r>
      <w:r w:rsidR="0093374E">
        <w:rPr>
          <w:kern w:val="16"/>
        </w:rPr>
        <w:t>-function and recovering from the crossing angle loss by an early separation scheme.</w:t>
      </w:r>
    </w:p>
    <w:p w:rsidR="0093374E" w:rsidRPr="0093374E" w:rsidRDefault="0093374E" w:rsidP="0093374E">
      <w:pPr>
        <w:pStyle w:val="Caption"/>
        <w:keepNext/>
        <w:rPr>
          <w:b w:val="0"/>
        </w:rPr>
      </w:pPr>
      <w:r w:rsidRPr="0093374E">
        <w:rPr>
          <w:b w:val="0"/>
        </w:rPr>
        <w:t xml:space="preserve">Table </w:t>
      </w:r>
      <w:r w:rsidR="000E057A" w:rsidRPr="0093374E">
        <w:rPr>
          <w:b w:val="0"/>
        </w:rPr>
        <w:fldChar w:fldCharType="begin"/>
      </w:r>
      <w:r w:rsidRPr="0093374E">
        <w:rPr>
          <w:b w:val="0"/>
        </w:rPr>
        <w:instrText xml:space="preserve"> SEQ Table \* ARABIC </w:instrText>
      </w:r>
      <w:r w:rsidR="000E057A" w:rsidRPr="0093374E">
        <w:rPr>
          <w:b w:val="0"/>
        </w:rPr>
        <w:fldChar w:fldCharType="separate"/>
      </w:r>
      <w:r w:rsidR="001B44BF">
        <w:rPr>
          <w:b w:val="0"/>
          <w:noProof/>
        </w:rPr>
        <w:t>1</w:t>
      </w:r>
      <w:r w:rsidR="000E057A" w:rsidRPr="0093374E">
        <w:rPr>
          <w:b w:val="0"/>
        </w:rPr>
        <w:fldChar w:fldCharType="end"/>
      </w:r>
      <w:r w:rsidRPr="0093374E">
        <w:rPr>
          <w:b w:val="0"/>
        </w:rPr>
        <w:t xml:space="preserve">: Luminosity decay sources for </w:t>
      </w:r>
      <w:proofErr w:type="spellStart"/>
      <w:r w:rsidRPr="0093374E">
        <w:rPr>
          <w:b w:val="0"/>
        </w:rPr>
        <w:t>sLHC</w:t>
      </w:r>
      <w:proofErr w:type="spellEnd"/>
      <w:r w:rsidRPr="0093374E">
        <w:rPr>
          <w:b w:val="0"/>
        </w:rPr>
        <w:t xml:space="preserve"> peak luminosity</w:t>
      </w:r>
    </w:p>
    <w:tbl>
      <w:tblPr>
        <w:tblStyle w:val="TableGrid"/>
        <w:tblW w:w="0" w:type="auto"/>
        <w:tblInd w:w="378" w:type="dxa"/>
        <w:tblLook w:val="04A0"/>
      </w:tblPr>
      <w:tblGrid>
        <w:gridCol w:w="2067"/>
        <w:gridCol w:w="1803"/>
      </w:tblGrid>
      <w:tr w:rsidR="00356F52" w:rsidTr="00356F52">
        <w:tc>
          <w:tcPr>
            <w:tcW w:w="2067" w:type="dxa"/>
          </w:tcPr>
          <w:p w:rsidR="00356F52" w:rsidRDefault="00356F52" w:rsidP="00356F52">
            <w:pPr>
              <w:pStyle w:val="BodyTextIndent"/>
              <w:ind w:firstLine="0"/>
              <w:jc w:val="center"/>
            </w:pPr>
            <w:r>
              <w:t>Source</w:t>
            </w:r>
          </w:p>
        </w:tc>
        <w:tc>
          <w:tcPr>
            <w:tcW w:w="1803" w:type="dxa"/>
          </w:tcPr>
          <w:p w:rsidR="00356F52" w:rsidRDefault="00356F52" w:rsidP="00356F52">
            <w:pPr>
              <w:pStyle w:val="BodyTextIndent"/>
              <w:ind w:firstLine="0"/>
              <w:jc w:val="center"/>
            </w:pPr>
            <w:r>
              <w:t>Time constant [hr]</w:t>
            </w:r>
          </w:p>
        </w:tc>
      </w:tr>
      <w:tr w:rsidR="00356F52" w:rsidTr="00356F52">
        <w:tc>
          <w:tcPr>
            <w:tcW w:w="2067" w:type="dxa"/>
          </w:tcPr>
          <w:p w:rsidR="00356F52" w:rsidRDefault="00356F52" w:rsidP="00356F52">
            <w:pPr>
              <w:pStyle w:val="BodyTextIndent"/>
              <w:ind w:firstLine="0"/>
            </w:pPr>
            <w:r>
              <w:t>Proton burning</w:t>
            </w:r>
          </w:p>
        </w:tc>
        <w:tc>
          <w:tcPr>
            <w:tcW w:w="1803" w:type="dxa"/>
          </w:tcPr>
          <w:p w:rsidR="00356F52" w:rsidRPr="00356F52" w:rsidRDefault="00356F52" w:rsidP="00356F52">
            <w:pPr>
              <w:pStyle w:val="BodyTextIndent"/>
              <w:ind w:firstLine="0"/>
              <w:jc w:val="center"/>
              <w:rPr>
                <w:b/>
              </w:rPr>
            </w:pPr>
            <w:r w:rsidRPr="00356F52">
              <w:rPr>
                <w:b/>
              </w:rPr>
              <w:t>5.8</w:t>
            </w:r>
          </w:p>
        </w:tc>
      </w:tr>
      <w:tr w:rsidR="00356F52" w:rsidTr="00356F52">
        <w:tc>
          <w:tcPr>
            <w:tcW w:w="2067" w:type="dxa"/>
          </w:tcPr>
          <w:p w:rsidR="00356F52" w:rsidRDefault="00356F52" w:rsidP="00356F52">
            <w:pPr>
              <w:pStyle w:val="BodyTextIndent"/>
              <w:ind w:firstLine="0"/>
            </w:pPr>
            <w:r>
              <w:t>Intra-beam scattering</w:t>
            </w:r>
          </w:p>
        </w:tc>
        <w:tc>
          <w:tcPr>
            <w:tcW w:w="1803" w:type="dxa"/>
          </w:tcPr>
          <w:p w:rsidR="00356F52" w:rsidRDefault="00356F52" w:rsidP="00356F52">
            <w:pPr>
              <w:pStyle w:val="BodyTextIndent"/>
              <w:ind w:firstLine="0"/>
              <w:jc w:val="center"/>
            </w:pPr>
            <w:r>
              <w:t>46</w:t>
            </w:r>
          </w:p>
        </w:tc>
      </w:tr>
      <w:tr w:rsidR="00356F52" w:rsidTr="00356F52">
        <w:tc>
          <w:tcPr>
            <w:tcW w:w="2067" w:type="dxa"/>
          </w:tcPr>
          <w:p w:rsidR="00356F52" w:rsidRDefault="00356F52" w:rsidP="00356F52">
            <w:pPr>
              <w:pStyle w:val="BodyTextIndent"/>
              <w:ind w:firstLine="0"/>
            </w:pPr>
            <w:r>
              <w:t>Rest gas collisions</w:t>
            </w:r>
          </w:p>
        </w:tc>
        <w:tc>
          <w:tcPr>
            <w:tcW w:w="1803" w:type="dxa"/>
          </w:tcPr>
          <w:p w:rsidR="00356F52" w:rsidRDefault="00356F52" w:rsidP="00356F52">
            <w:pPr>
              <w:pStyle w:val="BodyTextIndent"/>
              <w:ind w:firstLine="0"/>
              <w:jc w:val="center"/>
            </w:pPr>
            <w:r>
              <w:t>39</w:t>
            </w:r>
          </w:p>
        </w:tc>
      </w:tr>
      <w:tr w:rsidR="00356F52" w:rsidTr="00356F52">
        <w:tc>
          <w:tcPr>
            <w:tcW w:w="2067" w:type="dxa"/>
          </w:tcPr>
          <w:p w:rsidR="00356F52" w:rsidRDefault="00356F52" w:rsidP="00356F52">
            <w:pPr>
              <w:pStyle w:val="BodyTextIndent"/>
              <w:ind w:firstLine="0"/>
            </w:pPr>
            <w:r>
              <w:t>Luminosity</w:t>
            </w:r>
            <w:r w:rsidR="00320F6E">
              <w:t xml:space="preserve"> from above sources</w:t>
            </w:r>
          </w:p>
        </w:tc>
        <w:tc>
          <w:tcPr>
            <w:tcW w:w="1803" w:type="dxa"/>
          </w:tcPr>
          <w:p w:rsidR="00356F52" w:rsidRDefault="00356F52" w:rsidP="00356F52">
            <w:pPr>
              <w:pStyle w:val="BodyTextIndent"/>
              <w:ind w:firstLine="0"/>
              <w:jc w:val="center"/>
            </w:pPr>
            <w:r>
              <w:t>4.1</w:t>
            </w:r>
          </w:p>
        </w:tc>
      </w:tr>
    </w:tbl>
    <w:p w:rsidR="00356F52" w:rsidRDefault="00356F52" w:rsidP="00356F52">
      <w:pPr>
        <w:pStyle w:val="BodyTextIndent"/>
      </w:pPr>
    </w:p>
    <w:p w:rsidR="005C4D6E" w:rsidRPr="005C4D6E" w:rsidRDefault="00320F6E" w:rsidP="005C4D6E">
      <w:pPr>
        <w:pStyle w:val="BodyTextIndent"/>
        <w:rPr>
          <w:kern w:val="16"/>
        </w:rPr>
      </w:pPr>
      <w:r>
        <w:t>Figure 1</w:t>
      </w:r>
      <w:r w:rsidR="0093374E">
        <w:t xml:space="preserve"> shows the luminosity lifetime versus the peak luminosity for a range of scenarios where the bunch current is modified together with the focusing, the number of bunches and the beam </w:t>
      </w:r>
      <w:proofErr w:type="spellStart"/>
      <w:r w:rsidR="0093374E">
        <w:t>emittance</w:t>
      </w:r>
      <w:proofErr w:type="spellEnd"/>
      <w:r w:rsidR="0093374E">
        <w:t xml:space="preserve">. </w:t>
      </w:r>
      <w:r w:rsidR="005C4D6E">
        <w:t xml:space="preserve">The main point is that </w:t>
      </w:r>
      <w:r>
        <w:t>the luminosity lifetime</w:t>
      </w:r>
      <w:r w:rsidR="005C4D6E">
        <w:t xml:space="preserve"> only weakly depends on the details of the scenario</w:t>
      </w:r>
      <w:r>
        <w:t>s</w:t>
      </w:r>
      <w:r w:rsidR="005C4D6E">
        <w:t xml:space="preserve"> and </w:t>
      </w:r>
      <w:r>
        <w:t>is reduced to</w:t>
      </w:r>
      <w:r w:rsidR="005C4D6E">
        <w:t xml:space="preserve"> a few hours at a peak luminosity of </w:t>
      </w:r>
      <w:r w:rsidR="005C4D6E">
        <w:rPr>
          <w:kern w:val="16"/>
        </w:rPr>
        <w:t>10</w:t>
      </w:r>
      <w:r w:rsidR="005C4D6E" w:rsidRPr="00FB0475">
        <w:rPr>
          <w:kern w:val="16"/>
          <w:vertAlign w:val="superscript"/>
        </w:rPr>
        <w:t>35</w:t>
      </w:r>
      <w:r w:rsidR="005C4D6E">
        <w:rPr>
          <w:kern w:val="16"/>
        </w:rPr>
        <w:t xml:space="preserve"> cm</w:t>
      </w:r>
      <w:r w:rsidR="005C4D6E" w:rsidRPr="00FB0475">
        <w:rPr>
          <w:kern w:val="16"/>
          <w:vertAlign w:val="superscript"/>
        </w:rPr>
        <w:t>-2</w:t>
      </w:r>
      <w:r w:rsidR="005C4D6E">
        <w:rPr>
          <w:kern w:val="16"/>
        </w:rPr>
        <w:t>s</w:t>
      </w:r>
      <w:r w:rsidR="005C4D6E" w:rsidRPr="00FB0475">
        <w:rPr>
          <w:kern w:val="16"/>
          <w:vertAlign w:val="superscript"/>
        </w:rPr>
        <w:t>-1</w:t>
      </w:r>
      <w:r w:rsidR="005C4D6E">
        <w:rPr>
          <w:kern w:val="16"/>
        </w:rPr>
        <w:t xml:space="preserve">. This short lifetime entails a large variation </w:t>
      </w:r>
      <w:r>
        <w:rPr>
          <w:kern w:val="16"/>
        </w:rPr>
        <w:t xml:space="preserve">over the duration of a run </w:t>
      </w:r>
      <w:r w:rsidR="00D6112E">
        <w:rPr>
          <w:kern w:val="16"/>
        </w:rPr>
        <w:t xml:space="preserve">(typically 5) </w:t>
      </w:r>
      <w:r w:rsidR="005C4D6E">
        <w:rPr>
          <w:kern w:val="16"/>
        </w:rPr>
        <w:t>of the luminosity</w:t>
      </w:r>
      <w:r w:rsidR="006A3727">
        <w:rPr>
          <w:kern w:val="16"/>
        </w:rPr>
        <w:t xml:space="preserve"> and related quantities, e.g. </w:t>
      </w:r>
      <w:r w:rsidR="00D6112E">
        <w:rPr>
          <w:kern w:val="16"/>
        </w:rPr>
        <w:t>of the peak heat deposition in the triplet superconducting coil.</w:t>
      </w:r>
      <w:r w:rsidR="005C4D6E">
        <w:rPr>
          <w:kern w:val="16"/>
        </w:rPr>
        <w:t xml:space="preserve"> </w:t>
      </w:r>
    </w:p>
    <w:p w:rsidR="0093374E" w:rsidRDefault="00356F52" w:rsidP="0093374E">
      <w:pPr>
        <w:pStyle w:val="BodyTextIndent"/>
        <w:keepNext/>
      </w:pPr>
      <w:r w:rsidRPr="00356F52">
        <w:rPr>
          <w:noProof/>
          <w:lang w:val="en-US"/>
        </w:rPr>
        <w:drawing>
          <wp:inline distT="0" distB="0" distL="0" distR="0">
            <wp:extent cx="2840156" cy="1907616"/>
            <wp:effectExtent l="19050" t="0" r="0" b="0"/>
            <wp:docPr id="2" name="Picture 1" descr="\\cern.ch\dfs\Users\j\jpk\Documents\MyDocs\Text\Presentations\2010\fig9.jpg"/>
            <wp:cNvGraphicFramePr/>
            <a:graphic xmlns:a="http://schemas.openxmlformats.org/drawingml/2006/main">
              <a:graphicData uri="http://schemas.openxmlformats.org/drawingml/2006/picture">
                <pic:pic xmlns:pic="http://schemas.openxmlformats.org/drawingml/2006/picture">
                  <pic:nvPicPr>
                    <pic:cNvPr id="59393" name="Picture 1" descr="\\cern.ch\dfs\Users\j\jpk\Documents\MyDocs\Text\Presentations\2010\fig9.jpg"/>
                    <pic:cNvPicPr>
                      <a:picLocks noChangeAspect="1" noChangeArrowheads="1"/>
                    </pic:cNvPicPr>
                  </pic:nvPicPr>
                  <pic:blipFill>
                    <a:blip r:embed="rId8" cstate="print"/>
                    <a:srcRect/>
                    <a:stretch>
                      <a:fillRect/>
                    </a:stretch>
                  </pic:blipFill>
                  <pic:spPr bwMode="auto">
                    <a:xfrm>
                      <a:off x="0" y="0"/>
                      <a:ext cx="2842061" cy="1908896"/>
                    </a:xfrm>
                    <a:prstGeom prst="rect">
                      <a:avLst/>
                    </a:prstGeom>
                    <a:noFill/>
                  </pic:spPr>
                </pic:pic>
              </a:graphicData>
            </a:graphic>
          </wp:inline>
        </w:drawing>
      </w:r>
    </w:p>
    <w:p w:rsidR="00356F52" w:rsidRPr="00BC249C" w:rsidRDefault="0093374E" w:rsidP="0093374E">
      <w:pPr>
        <w:pStyle w:val="Caption"/>
        <w:rPr>
          <w:b w:val="0"/>
          <w:i/>
        </w:rPr>
      </w:pPr>
      <w:r w:rsidRPr="00BC249C">
        <w:rPr>
          <w:b w:val="0"/>
          <w:i/>
        </w:rPr>
        <w:t xml:space="preserve">Figure </w:t>
      </w:r>
      <w:r w:rsidR="00320F6E" w:rsidRPr="00BC249C">
        <w:rPr>
          <w:b w:val="0"/>
          <w:i/>
        </w:rPr>
        <w:t>1</w:t>
      </w:r>
      <w:r w:rsidRPr="00BC249C">
        <w:rPr>
          <w:b w:val="0"/>
          <w:i/>
        </w:rPr>
        <w:t xml:space="preserve">: </w:t>
      </w:r>
      <w:r w:rsidR="005C4D6E" w:rsidRPr="00BC249C">
        <w:rPr>
          <w:b w:val="0"/>
          <w:i/>
        </w:rPr>
        <w:t xml:space="preserve">luminosity </w:t>
      </w:r>
      <w:r w:rsidRPr="00BC249C">
        <w:rPr>
          <w:b w:val="0"/>
          <w:i/>
        </w:rPr>
        <w:t xml:space="preserve">lifetime </w:t>
      </w:r>
      <w:r w:rsidR="005C4D6E" w:rsidRPr="00BC249C">
        <w:rPr>
          <w:b w:val="0"/>
          <w:i/>
        </w:rPr>
        <w:t xml:space="preserve">and decay factor </w:t>
      </w:r>
      <w:r w:rsidRPr="00BC249C">
        <w:rPr>
          <w:b w:val="0"/>
          <w:i/>
        </w:rPr>
        <w:t>versus peak luminosity</w:t>
      </w:r>
    </w:p>
    <w:p w:rsidR="006A3727" w:rsidRPr="006A3727" w:rsidRDefault="006A3727" w:rsidP="006A3727">
      <w:r>
        <w:t xml:space="preserve">This unusually large luminosity decay and decay factor over a run calls for luminosity levelling to optimize the data taking and minimize the required “over-design” </w:t>
      </w:r>
      <w:r w:rsidR="00D6112E">
        <w:t>of the detector and machine components, due to this</w:t>
      </w:r>
      <w:r>
        <w:t xml:space="preserve"> large decay factor.</w:t>
      </w:r>
    </w:p>
    <w:p w:rsidR="00356F52" w:rsidRDefault="00356F52" w:rsidP="00356F52">
      <w:pPr>
        <w:pStyle w:val="Heading2"/>
      </w:pPr>
      <w:r>
        <w:t>Methods of luminosity level</w:t>
      </w:r>
      <w:r w:rsidR="005B07DB">
        <w:t>l</w:t>
      </w:r>
      <w:r>
        <w:t>ing</w:t>
      </w:r>
    </w:p>
    <w:p w:rsidR="00E04CBE" w:rsidRDefault="00E04CBE" w:rsidP="00E04CBE">
      <w:pPr>
        <w:pStyle w:val="BodyTextIndent"/>
      </w:pPr>
      <w:r>
        <w:t>In a machine with a crossing angle of significant impact, it is necessary to consider simultaneous</w:t>
      </w:r>
      <w:r w:rsidR="00684707">
        <w:t xml:space="preserve">ly </w:t>
      </w:r>
      <w:r w:rsidR="00CB7370">
        <w:t xml:space="preserve">the impact of a luminosity levelling scheme on </w:t>
      </w:r>
      <w:r w:rsidR="00684707">
        <w:t>the luminosity,</w:t>
      </w:r>
      <w:r w:rsidR="00CB7370">
        <w:t xml:space="preserve"> on</w:t>
      </w:r>
      <w:r w:rsidR="00684707">
        <w:t xml:space="preserve"> the head-on </w:t>
      </w:r>
      <w:r>
        <w:t xml:space="preserve">beam-tune shift </w:t>
      </w:r>
      <w:r w:rsidR="00CB7370">
        <w:t>and on the long</w:t>
      </w:r>
      <w:r w:rsidR="00684707">
        <w:t>-range beam-beam effect.</w:t>
      </w:r>
      <w:r w:rsidR="00CB7370">
        <w:t xml:space="preserve"> The first two are given by Eq. (1):</w:t>
      </w:r>
    </w:p>
    <w:p w:rsidR="00E04CBE" w:rsidRDefault="00E51924" w:rsidP="00E04CBE">
      <w:pPr>
        <w:pStyle w:val="BodyTextIndent"/>
      </w:pPr>
      <w:r w:rsidRPr="00E51924">
        <w:rPr>
          <w:position w:val="-64"/>
        </w:rPr>
        <w:object w:dxaOrig="402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48.9pt" o:ole="">
            <v:imagedata r:id="rId9" o:title=""/>
          </v:shape>
          <o:OLEObject Type="Embed" ProgID="Equation.3" ShapeID="_x0000_i1025" DrawAspect="Content" ObjectID="_1328336626" r:id="rId10"/>
        </w:object>
      </w:r>
    </w:p>
    <w:p w:rsidR="00E04CBE" w:rsidRDefault="007C5758" w:rsidP="00E04CBE">
      <w:pPr>
        <w:pStyle w:val="BodyTextIndent"/>
        <w:rPr>
          <w:kern w:val="16"/>
        </w:rPr>
      </w:pPr>
      <w:r>
        <w:t xml:space="preserve">If the crossing angle </w:t>
      </w:r>
      <w:r w:rsidRPr="007C5758">
        <w:rPr>
          <w:i/>
        </w:rPr>
        <w:sym w:font="Symbol" w:char="F071"/>
      </w:r>
      <w:r w:rsidRPr="007C5758">
        <w:rPr>
          <w:i/>
          <w:vertAlign w:val="subscript"/>
        </w:rPr>
        <w:t>c</w:t>
      </w:r>
      <w:r>
        <w:t xml:space="preserve"> vanishes, the luminosity levelling can only be carried out by varying </w:t>
      </w:r>
      <w:r w:rsidRPr="007C5758">
        <w:rPr>
          <w:i/>
          <w:kern w:val="16"/>
        </w:rPr>
        <w:sym w:font="Symbol" w:char="F062"/>
      </w:r>
      <w:r w:rsidRPr="007C5758">
        <w:rPr>
          <w:i/>
          <w:kern w:val="16"/>
          <w:vertAlign w:val="superscript"/>
        </w:rPr>
        <w:t xml:space="preserve">* </w:t>
      </w:r>
      <w:r>
        <w:rPr>
          <w:kern w:val="16"/>
        </w:rPr>
        <w:t xml:space="preserve">and the beam-beam tune shift </w:t>
      </w:r>
      <w:r w:rsidR="00CB7370">
        <w:rPr>
          <w:kern w:val="16"/>
        </w:rPr>
        <w:t xml:space="preserve">is independent of </w:t>
      </w:r>
      <w:r>
        <w:rPr>
          <w:kern w:val="16"/>
        </w:rPr>
        <w:t xml:space="preserve">the levelling. This simple </w:t>
      </w:r>
      <w:r w:rsidR="00CB7370">
        <w:rPr>
          <w:kern w:val="16"/>
        </w:rPr>
        <w:t>dependence</w:t>
      </w:r>
      <w:r>
        <w:rPr>
          <w:kern w:val="16"/>
        </w:rPr>
        <w:t xml:space="preserve"> may be violated close to the hourglass limit, where the bunch length </w:t>
      </w:r>
      <w:r w:rsidRPr="007C5758">
        <w:rPr>
          <w:i/>
          <w:kern w:val="16"/>
        </w:rPr>
        <w:sym w:font="Symbol" w:char="F073"/>
      </w:r>
      <w:r w:rsidRPr="007C5758">
        <w:rPr>
          <w:i/>
          <w:kern w:val="16"/>
          <w:vertAlign w:val="subscript"/>
        </w:rPr>
        <w:t>s</w:t>
      </w:r>
      <w:r>
        <w:rPr>
          <w:kern w:val="16"/>
          <w:vertAlign w:val="subscript"/>
        </w:rPr>
        <w:t xml:space="preserve"> </w:t>
      </w:r>
      <w:r>
        <w:rPr>
          <w:kern w:val="16"/>
        </w:rPr>
        <w:t xml:space="preserve">becomes of relevance. </w:t>
      </w:r>
      <w:r w:rsidRPr="007C5758">
        <w:rPr>
          <w:kern w:val="16"/>
        </w:rPr>
        <w:t>When</w:t>
      </w:r>
      <w:r>
        <w:rPr>
          <w:kern w:val="16"/>
        </w:rPr>
        <w:t xml:space="preserve"> the crossing angle does not vanish, as is the case of the </w:t>
      </w:r>
      <w:proofErr w:type="spellStart"/>
      <w:r>
        <w:rPr>
          <w:kern w:val="16"/>
        </w:rPr>
        <w:t>sLHC</w:t>
      </w:r>
      <w:proofErr w:type="spellEnd"/>
      <w:r>
        <w:rPr>
          <w:kern w:val="16"/>
        </w:rPr>
        <w:t xml:space="preserve">, three levelling methods may a priori be contemplated: levelling via </w:t>
      </w:r>
      <w:r w:rsidRPr="007C5758">
        <w:rPr>
          <w:i/>
          <w:kern w:val="16"/>
        </w:rPr>
        <w:sym w:font="Symbol" w:char="F062"/>
      </w:r>
      <w:r w:rsidRPr="007C5758">
        <w:rPr>
          <w:i/>
          <w:kern w:val="16"/>
          <w:vertAlign w:val="superscript"/>
        </w:rPr>
        <w:t>*</w:t>
      </w:r>
      <w:r>
        <w:rPr>
          <w:kern w:val="16"/>
        </w:rPr>
        <w:t xml:space="preserve">, via the crossing angle </w:t>
      </w:r>
      <w:r w:rsidRPr="007C5758">
        <w:rPr>
          <w:i/>
        </w:rPr>
        <w:sym w:font="Symbol" w:char="F071"/>
      </w:r>
      <w:r w:rsidRPr="007C5758">
        <w:rPr>
          <w:i/>
          <w:vertAlign w:val="subscript"/>
        </w:rPr>
        <w:t>c</w:t>
      </w:r>
      <w:r>
        <w:t xml:space="preserve"> and via the bunch length </w:t>
      </w:r>
      <w:r w:rsidRPr="007C5758">
        <w:rPr>
          <w:i/>
          <w:kern w:val="16"/>
        </w:rPr>
        <w:sym w:font="Symbol" w:char="F073"/>
      </w:r>
      <w:r w:rsidRPr="007C5758">
        <w:rPr>
          <w:i/>
          <w:kern w:val="16"/>
          <w:vertAlign w:val="subscript"/>
        </w:rPr>
        <w:t>s</w:t>
      </w:r>
      <w:r>
        <w:rPr>
          <w:kern w:val="16"/>
        </w:rPr>
        <w:t xml:space="preserve">. The bunch charge </w:t>
      </w:r>
      <w:proofErr w:type="spellStart"/>
      <w:r w:rsidRPr="00684707">
        <w:rPr>
          <w:i/>
          <w:kern w:val="16"/>
        </w:rPr>
        <w:t>N</w:t>
      </w:r>
      <w:r w:rsidRPr="00684707">
        <w:rPr>
          <w:i/>
          <w:kern w:val="16"/>
          <w:vertAlign w:val="subscript"/>
        </w:rPr>
        <w:t>b</w:t>
      </w:r>
      <w:proofErr w:type="spellEnd"/>
      <w:r>
        <w:rPr>
          <w:kern w:val="16"/>
          <w:vertAlign w:val="subscript"/>
        </w:rPr>
        <w:t xml:space="preserve"> </w:t>
      </w:r>
      <w:r w:rsidR="00CB7370">
        <w:rPr>
          <w:kern w:val="16"/>
        </w:rPr>
        <w:t xml:space="preserve">and the </w:t>
      </w:r>
      <w:proofErr w:type="spellStart"/>
      <w:r w:rsidR="00CB7370">
        <w:rPr>
          <w:kern w:val="16"/>
        </w:rPr>
        <w:t>emitta</w:t>
      </w:r>
      <w:r>
        <w:rPr>
          <w:kern w:val="16"/>
        </w:rPr>
        <w:t>nce</w:t>
      </w:r>
      <w:proofErr w:type="spellEnd"/>
      <w:r>
        <w:rPr>
          <w:kern w:val="16"/>
        </w:rPr>
        <w:t xml:space="preserve"> </w:t>
      </w:r>
      <w:r w:rsidRPr="007C5758">
        <w:rPr>
          <w:i/>
          <w:kern w:val="16"/>
        </w:rPr>
        <w:sym w:font="Symbol" w:char="F065"/>
      </w:r>
      <w:r>
        <w:rPr>
          <w:i/>
          <w:kern w:val="16"/>
        </w:rPr>
        <w:t xml:space="preserve"> </w:t>
      </w:r>
      <w:r>
        <w:rPr>
          <w:kern w:val="16"/>
        </w:rPr>
        <w:t>evidently do not lend themselves to levelling.</w:t>
      </w:r>
    </w:p>
    <w:p w:rsidR="005B07DB" w:rsidRDefault="005B07DB" w:rsidP="005B07DB">
      <w:pPr>
        <w:pStyle w:val="Heading3"/>
        <w:rPr>
          <w:kern w:val="16"/>
          <w:vertAlign w:val="superscript"/>
        </w:rPr>
      </w:pPr>
      <w:r>
        <w:rPr>
          <w:kern w:val="16"/>
        </w:rPr>
        <w:t xml:space="preserve">Levelling via </w:t>
      </w:r>
      <w:r w:rsidRPr="007C5758">
        <w:rPr>
          <w:kern w:val="16"/>
        </w:rPr>
        <w:sym w:font="Symbol" w:char="F062"/>
      </w:r>
      <w:r w:rsidRPr="007C5758">
        <w:rPr>
          <w:kern w:val="16"/>
          <w:vertAlign w:val="superscript"/>
        </w:rPr>
        <w:t>*</w:t>
      </w:r>
    </w:p>
    <w:p w:rsidR="00684707" w:rsidRDefault="00684707" w:rsidP="00684707">
      <w:pPr>
        <w:pStyle w:val="BodyTextIndent"/>
        <w:rPr>
          <w:kern w:val="16"/>
        </w:rPr>
      </w:pPr>
      <w:r>
        <w:t xml:space="preserve">Due to the crossing angle, the </w:t>
      </w:r>
      <w:r w:rsidR="00627F32">
        <w:t xml:space="preserve">head-on </w:t>
      </w:r>
      <w:r>
        <w:t xml:space="preserve">beam-beam tune shift </w:t>
      </w:r>
      <w:r w:rsidR="00627F32">
        <w:t xml:space="preserve">becomes dependent on </w:t>
      </w:r>
      <w:r w:rsidRPr="007C5758">
        <w:rPr>
          <w:i/>
          <w:kern w:val="16"/>
        </w:rPr>
        <w:sym w:font="Symbol" w:char="F062"/>
      </w:r>
      <w:r w:rsidRPr="007C5758">
        <w:rPr>
          <w:i/>
          <w:kern w:val="16"/>
          <w:vertAlign w:val="superscript"/>
        </w:rPr>
        <w:t>*</w:t>
      </w:r>
      <w:r w:rsidR="00F86426">
        <w:rPr>
          <w:kern w:val="16"/>
        </w:rPr>
        <w:t xml:space="preserve">. It will increase as </w:t>
      </w:r>
      <w:r w:rsidR="00F86426" w:rsidRPr="007C5758">
        <w:rPr>
          <w:i/>
          <w:kern w:val="16"/>
        </w:rPr>
        <w:sym w:font="Symbol" w:char="F062"/>
      </w:r>
      <w:r w:rsidR="00F86426" w:rsidRPr="007C5758">
        <w:rPr>
          <w:i/>
          <w:kern w:val="16"/>
          <w:vertAlign w:val="superscript"/>
        </w:rPr>
        <w:t>*</w:t>
      </w:r>
      <w:r w:rsidR="00F86426">
        <w:rPr>
          <w:kern w:val="16"/>
        </w:rPr>
        <w:t xml:space="preserve"> is increased, i.e. reach a maximum at the beginning of the run.</w:t>
      </w:r>
      <w:r w:rsidR="00627F32">
        <w:rPr>
          <w:kern w:val="16"/>
        </w:rPr>
        <w:t xml:space="preserve"> At least two strategies of levelling via </w:t>
      </w:r>
      <w:r w:rsidR="00627F32" w:rsidRPr="007C5758">
        <w:rPr>
          <w:i/>
          <w:kern w:val="16"/>
        </w:rPr>
        <w:sym w:font="Symbol" w:char="F062"/>
      </w:r>
      <w:r w:rsidR="00627F32" w:rsidRPr="007C5758">
        <w:rPr>
          <w:i/>
          <w:kern w:val="16"/>
          <w:vertAlign w:val="superscript"/>
        </w:rPr>
        <w:t>*</w:t>
      </w:r>
      <w:r w:rsidR="00627F32">
        <w:rPr>
          <w:kern w:val="16"/>
        </w:rPr>
        <w:t xml:space="preserve"> can be contemplated with different impacts on the performance:</w:t>
      </w:r>
    </w:p>
    <w:p w:rsidR="00627F32" w:rsidRPr="00627F32" w:rsidRDefault="00627F32" w:rsidP="00684707">
      <w:pPr>
        <w:pStyle w:val="BodyTextIndent"/>
        <w:rPr>
          <w:rStyle w:val="SubtleEmphasis"/>
          <w:color w:val="auto"/>
        </w:rPr>
      </w:pPr>
      <w:r w:rsidRPr="00627F32">
        <w:rPr>
          <w:rStyle w:val="SubtleEmphasis"/>
          <w:color w:val="auto"/>
        </w:rPr>
        <w:t>Strategy of invariant beam-beam effect</w:t>
      </w:r>
    </w:p>
    <w:p w:rsidR="00627F32" w:rsidRDefault="00627F32" w:rsidP="00627F32">
      <w:pPr>
        <w:rPr>
          <w:kern w:val="16"/>
        </w:rPr>
      </w:pPr>
      <w:r w:rsidRPr="00627F32">
        <w:rPr>
          <w:rStyle w:val="SubtleEmphasis"/>
          <w:i w:val="0"/>
          <w:color w:val="auto"/>
        </w:rPr>
        <w:t>The beam-beam problem remains</w:t>
      </w:r>
      <w:r>
        <w:rPr>
          <w:rStyle w:val="SubtleEmphasis"/>
          <w:i w:val="0"/>
          <w:color w:val="auto"/>
        </w:rPr>
        <w:t xml:space="preserve"> invariant if all distances</w:t>
      </w:r>
      <w:r w:rsidR="00F86426">
        <w:rPr>
          <w:rStyle w:val="SubtleEmphasis"/>
          <w:i w:val="0"/>
          <w:color w:val="auto"/>
        </w:rPr>
        <w:t>,</w:t>
      </w:r>
      <w:r>
        <w:rPr>
          <w:rStyle w:val="SubtleEmphasis"/>
          <w:i w:val="0"/>
          <w:color w:val="auto"/>
        </w:rPr>
        <w:t xml:space="preserve"> expressed in local </w:t>
      </w:r>
      <w:proofErr w:type="spellStart"/>
      <w:r>
        <w:rPr>
          <w:rStyle w:val="SubtleEmphasis"/>
          <w:i w:val="0"/>
          <w:color w:val="auto"/>
        </w:rPr>
        <w:t>rms</w:t>
      </w:r>
      <w:proofErr w:type="spellEnd"/>
      <w:r>
        <w:rPr>
          <w:rStyle w:val="SubtleEmphasis"/>
          <w:i w:val="0"/>
          <w:color w:val="auto"/>
        </w:rPr>
        <w:t xml:space="preserve"> beam size</w:t>
      </w:r>
      <w:r w:rsidR="00F86426">
        <w:rPr>
          <w:rStyle w:val="SubtleEmphasis"/>
          <w:i w:val="0"/>
          <w:color w:val="auto"/>
        </w:rPr>
        <w:t>,</w:t>
      </w:r>
      <w:r>
        <w:rPr>
          <w:rStyle w:val="SubtleEmphasis"/>
          <w:i w:val="0"/>
          <w:color w:val="auto"/>
        </w:rPr>
        <w:t xml:space="preserve"> are kept constant. To achieve this requirement during levelling, the crossing angle </w:t>
      </w:r>
      <w:r w:rsidRPr="007C5758">
        <w:rPr>
          <w:i/>
        </w:rPr>
        <w:sym w:font="Symbol" w:char="F071"/>
      </w:r>
      <w:r w:rsidRPr="007C5758">
        <w:rPr>
          <w:i/>
          <w:vertAlign w:val="subscript"/>
        </w:rPr>
        <w:t>c</w:t>
      </w:r>
      <w:r>
        <w:t xml:space="preserve"> has to be reduced during levelling </w:t>
      </w:r>
      <w:proofErr w:type="gramStart"/>
      <w:r>
        <w:t xml:space="preserve">like </w:t>
      </w:r>
      <w:proofErr w:type="gramEnd"/>
      <w:r w:rsidRPr="00627F32">
        <w:rPr>
          <w:position w:val="-10"/>
        </w:rPr>
        <w:object w:dxaOrig="639" w:dyaOrig="400">
          <v:shape id="_x0000_i1026" type="#_x0000_t75" style="width:31.7pt;height:19.9pt" o:ole="">
            <v:imagedata r:id="rId11" o:title=""/>
          </v:shape>
          <o:OLEObject Type="Embed" ProgID="Equation.3" ShapeID="_x0000_i1026" DrawAspect="Content" ObjectID="_1328336627" r:id="rId12"/>
        </w:object>
      </w:r>
      <w:r>
        <w:t>.</w:t>
      </w:r>
      <w:r w:rsidR="00DF7692">
        <w:t xml:space="preserve"> Hence, the head-on beam-beam </w:t>
      </w:r>
      <w:proofErr w:type="gramStart"/>
      <w:r w:rsidR="00DF7692">
        <w:t>tune shift</w:t>
      </w:r>
      <w:proofErr w:type="gramEnd"/>
      <w:r w:rsidR="00761435">
        <w:t xml:space="preserve"> dependence on </w:t>
      </w:r>
      <w:r w:rsidR="00761435" w:rsidRPr="007C5758">
        <w:rPr>
          <w:i/>
          <w:kern w:val="16"/>
        </w:rPr>
        <w:sym w:font="Symbol" w:char="F062"/>
      </w:r>
      <w:r w:rsidR="00761435" w:rsidRPr="007C5758">
        <w:rPr>
          <w:i/>
          <w:kern w:val="16"/>
          <w:vertAlign w:val="superscript"/>
        </w:rPr>
        <w:t>*</w:t>
      </w:r>
      <w:r w:rsidR="00761435">
        <w:rPr>
          <w:kern w:val="16"/>
        </w:rPr>
        <w:t xml:space="preserve"> becomes:</w:t>
      </w:r>
    </w:p>
    <w:p w:rsidR="00761435" w:rsidRDefault="00761435" w:rsidP="00761435">
      <w:pPr>
        <w:jc w:val="center"/>
        <w:rPr>
          <w:rStyle w:val="SubtleEmphasis"/>
          <w:i w:val="0"/>
          <w:color w:val="auto"/>
        </w:rPr>
      </w:pPr>
      <w:r w:rsidRPr="00761435">
        <w:rPr>
          <w:rStyle w:val="SubtleEmphasis"/>
          <w:i w:val="0"/>
          <w:color w:val="auto"/>
          <w:position w:val="-12"/>
        </w:rPr>
        <w:object w:dxaOrig="1840" w:dyaOrig="460">
          <v:shape id="_x0000_i1027" type="#_x0000_t75" style="width:91.9pt;height:23.1pt" o:ole="">
            <v:imagedata r:id="rId13" o:title=""/>
          </v:shape>
          <o:OLEObject Type="Embed" ProgID="Equation.3" ShapeID="_x0000_i1027" DrawAspect="Content" ObjectID="_1328336628" r:id="rId14"/>
        </w:object>
      </w:r>
    </w:p>
    <w:p w:rsidR="00761435" w:rsidRDefault="00761435" w:rsidP="00761435">
      <w:pPr>
        <w:rPr>
          <w:kern w:val="16"/>
        </w:rPr>
      </w:pPr>
      <w:r>
        <w:rPr>
          <w:rStyle w:val="SubtleEmphasis"/>
          <w:i w:val="0"/>
          <w:color w:val="auto"/>
        </w:rPr>
        <w:t xml:space="preserve">The constant </w:t>
      </w:r>
      <w:r w:rsidRPr="00761435">
        <w:rPr>
          <w:rStyle w:val="SubtleEmphasis"/>
          <w:color w:val="auto"/>
        </w:rPr>
        <w:t>k</w:t>
      </w:r>
      <w:r>
        <w:rPr>
          <w:rStyle w:val="SubtleEmphasis"/>
          <w:i w:val="0"/>
          <w:color w:val="auto"/>
        </w:rPr>
        <w:t xml:space="preserve"> depends on the specific scenario. For a scenario where the levelling would require </w:t>
      </w:r>
      <w:r w:rsidR="00657D7A">
        <w:rPr>
          <w:rStyle w:val="SubtleEmphasis"/>
          <w:i w:val="0"/>
          <w:color w:val="auto"/>
        </w:rPr>
        <w:t xml:space="preserve">initially </w:t>
      </w:r>
      <w:r>
        <w:rPr>
          <w:rStyle w:val="SubtleEmphasis"/>
          <w:i w:val="0"/>
          <w:color w:val="auto"/>
        </w:rPr>
        <w:t xml:space="preserve">increasing the </w:t>
      </w:r>
      <w:r w:rsidRPr="007C5758">
        <w:rPr>
          <w:i/>
          <w:kern w:val="16"/>
        </w:rPr>
        <w:sym w:font="Symbol" w:char="F062"/>
      </w:r>
      <w:r w:rsidRPr="007C5758">
        <w:rPr>
          <w:i/>
          <w:kern w:val="16"/>
          <w:vertAlign w:val="superscript"/>
        </w:rPr>
        <w:t>*</w:t>
      </w:r>
      <w:r>
        <w:rPr>
          <w:kern w:val="16"/>
        </w:rPr>
        <w:t>-function from 25 cm to 50 cm, the increase of the head-on beam-beam tune shift could require decreasing the bunch charge by a factor 1.4 and hence the luminosity by a factor of two. Th</w:t>
      </w:r>
      <w:r w:rsidR="00657D7A">
        <w:rPr>
          <w:kern w:val="16"/>
        </w:rPr>
        <w:t>is is the maximum loss possible. Its exact value will depend</w:t>
      </w:r>
      <w:r>
        <w:rPr>
          <w:kern w:val="16"/>
        </w:rPr>
        <w:t xml:space="preserve"> on the value of the beam-beam limit effectively observed in the LHC. If it is 0.01 as assumed so far, the luminosity loss </w:t>
      </w:r>
      <w:r w:rsidR="00657D7A">
        <w:rPr>
          <w:kern w:val="16"/>
        </w:rPr>
        <w:t xml:space="preserve">inherent to levelling via </w:t>
      </w:r>
      <w:r w:rsidR="00657D7A" w:rsidRPr="007C5758">
        <w:rPr>
          <w:i/>
          <w:kern w:val="16"/>
        </w:rPr>
        <w:sym w:font="Symbol" w:char="F062"/>
      </w:r>
      <w:r w:rsidR="00657D7A" w:rsidRPr="007C5758">
        <w:rPr>
          <w:i/>
          <w:kern w:val="16"/>
          <w:vertAlign w:val="superscript"/>
        </w:rPr>
        <w:t>*</w:t>
      </w:r>
      <w:r w:rsidR="00657D7A">
        <w:rPr>
          <w:kern w:val="16"/>
        </w:rPr>
        <w:t xml:space="preserve"> </w:t>
      </w:r>
      <w:r>
        <w:rPr>
          <w:kern w:val="16"/>
        </w:rPr>
        <w:t>would exceed 30%.</w:t>
      </w:r>
    </w:p>
    <w:p w:rsidR="007077EA" w:rsidRDefault="007077EA" w:rsidP="007077EA">
      <w:pPr>
        <w:pStyle w:val="BodyTextIndent"/>
        <w:rPr>
          <w:rStyle w:val="SubtleEmphasis"/>
          <w:color w:val="auto"/>
        </w:rPr>
      </w:pPr>
      <w:r w:rsidRPr="00627F32">
        <w:rPr>
          <w:rStyle w:val="SubtleEmphasis"/>
          <w:color w:val="auto"/>
        </w:rPr>
        <w:t xml:space="preserve">Strategy of </w:t>
      </w:r>
      <w:r>
        <w:rPr>
          <w:rStyle w:val="SubtleEmphasis"/>
          <w:color w:val="auto"/>
        </w:rPr>
        <w:t xml:space="preserve">best use of </w:t>
      </w:r>
      <w:r w:rsidR="00657D7A">
        <w:rPr>
          <w:rStyle w:val="SubtleEmphasis"/>
          <w:color w:val="auto"/>
        </w:rPr>
        <w:t xml:space="preserve">the physical </w:t>
      </w:r>
      <w:r>
        <w:rPr>
          <w:rStyle w:val="SubtleEmphasis"/>
          <w:color w:val="auto"/>
        </w:rPr>
        <w:t>aperture</w:t>
      </w:r>
    </w:p>
    <w:p w:rsidR="00211E76" w:rsidRDefault="00211E76" w:rsidP="00211E76">
      <w:pPr>
        <w:pStyle w:val="BodyTextIndent"/>
        <w:ind w:firstLine="0"/>
        <w:rPr>
          <w:rStyle w:val="SubtleEmphasis"/>
          <w:i w:val="0"/>
          <w:color w:val="auto"/>
        </w:rPr>
      </w:pPr>
      <w:r>
        <w:rPr>
          <w:rStyle w:val="SubtleEmphasis"/>
          <w:i w:val="0"/>
          <w:color w:val="auto"/>
        </w:rPr>
        <w:t>If one accepts a variation of the beam-beam problem during the levelling (beam-beam tune shift, excitation of resonances, detuning terms)</w:t>
      </w:r>
      <w:r w:rsidR="00657D7A">
        <w:rPr>
          <w:rStyle w:val="SubtleEmphasis"/>
          <w:i w:val="0"/>
          <w:color w:val="auto"/>
        </w:rPr>
        <w:t xml:space="preserve"> towards weaker effects, a</w:t>
      </w:r>
      <w:r>
        <w:rPr>
          <w:rStyle w:val="SubtleEmphasis"/>
          <w:i w:val="0"/>
          <w:color w:val="auto"/>
        </w:rPr>
        <w:t xml:space="preserve"> strategy of best use of the triplet aperture can be followed.</w:t>
      </w:r>
      <w:r w:rsidR="00F42AAA">
        <w:rPr>
          <w:rStyle w:val="SubtleEmphasis"/>
          <w:i w:val="0"/>
          <w:color w:val="auto"/>
        </w:rPr>
        <w:t xml:space="preserve"> The physical beam separation is </w:t>
      </w:r>
      <w:r w:rsidR="00657D7A">
        <w:rPr>
          <w:rStyle w:val="SubtleEmphasis"/>
          <w:i w:val="0"/>
          <w:color w:val="auto"/>
        </w:rPr>
        <w:t xml:space="preserve">then </w:t>
      </w:r>
      <w:r w:rsidR="00F42AAA">
        <w:rPr>
          <w:rStyle w:val="SubtleEmphasis"/>
          <w:i w:val="0"/>
          <w:color w:val="auto"/>
        </w:rPr>
        <w:t>kept constant and the variation of the head-on tune shift becomes:</w:t>
      </w:r>
    </w:p>
    <w:p w:rsidR="007077EA" w:rsidRDefault="00F42AAA" w:rsidP="00F42AAA">
      <w:pPr>
        <w:jc w:val="center"/>
        <w:rPr>
          <w:rStyle w:val="SubtleEmphasis"/>
          <w:i w:val="0"/>
          <w:color w:val="auto"/>
        </w:rPr>
      </w:pPr>
      <w:r w:rsidRPr="00761435">
        <w:rPr>
          <w:rStyle w:val="SubtleEmphasis"/>
          <w:i w:val="0"/>
          <w:color w:val="auto"/>
          <w:position w:val="-12"/>
        </w:rPr>
        <w:object w:dxaOrig="1880" w:dyaOrig="460">
          <v:shape id="_x0000_i1028" type="#_x0000_t75" style="width:94.05pt;height:23.1pt" o:ole="">
            <v:imagedata r:id="rId15" o:title=""/>
          </v:shape>
          <o:OLEObject Type="Embed" ProgID="Equation.3" ShapeID="_x0000_i1028" DrawAspect="Content" ObjectID="_1328336629" r:id="rId16"/>
        </w:object>
      </w:r>
    </w:p>
    <w:p w:rsidR="00F42AAA" w:rsidRDefault="0075610F" w:rsidP="0075610F">
      <w:pPr>
        <w:rPr>
          <w:kern w:val="16"/>
        </w:rPr>
      </w:pPr>
      <w:r>
        <w:rPr>
          <w:rStyle w:val="SubtleEmphasis"/>
          <w:i w:val="0"/>
          <w:color w:val="auto"/>
        </w:rPr>
        <w:t>In the same scenario as above, the maximum luminosity loss is 50% and, for a beam-beam limit of 0.01,</w:t>
      </w:r>
      <w:r w:rsidRPr="0075610F">
        <w:rPr>
          <w:kern w:val="16"/>
        </w:rPr>
        <w:t xml:space="preserve"> </w:t>
      </w:r>
      <w:r>
        <w:rPr>
          <w:kern w:val="16"/>
        </w:rPr>
        <w:t>the luminosity loss related to the peak bunch charge allowed would reach 15%.</w:t>
      </w:r>
    </w:p>
    <w:p w:rsidR="0075610F" w:rsidRDefault="0075610F" w:rsidP="0075610F">
      <w:pPr>
        <w:rPr>
          <w:kern w:val="16"/>
        </w:rPr>
      </w:pPr>
    </w:p>
    <w:p w:rsidR="0075610F" w:rsidRDefault="0075610F" w:rsidP="0075610F">
      <w:pPr>
        <w:rPr>
          <w:kern w:val="16"/>
        </w:rPr>
      </w:pPr>
      <w:r>
        <w:rPr>
          <w:kern w:val="16"/>
        </w:rPr>
        <w:t xml:space="preserve">In addition, and unrelated to the </w:t>
      </w:r>
      <w:r w:rsidR="00657D7A">
        <w:rPr>
          <w:kern w:val="16"/>
        </w:rPr>
        <w:t xml:space="preserve">luminosity losses already quoted, one should expect another significant loss on the luminosity integral due to the clipping of the luminosity below its peak value. </w:t>
      </w:r>
      <w:r>
        <w:rPr>
          <w:kern w:val="16"/>
        </w:rPr>
        <w:t xml:space="preserve">This effect </w:t>
      </w:r>
      <w:r w:rsidR="006A16DC">
        <w:rPr>
          <w:kern w:val="16"/>
        </w:rPr>
        <w:t>has not</w:t>
      </w:r>
      <w:r>
        <w:rPr>
          <w:kern w:val="16"/>
        </w:rPr>
        <w:t xml:space="preserve"> </w:t>
      </w:r>
      <w:r w:rsidR="00A66154">
        <w:rPr>
          <w:kern w:val="16"/>
        </w:rPr>
        <w:t xml:space="preserve">yet been </w:t>
      </w:r>
      <w:r w:rsidR="006A16DC">
        <w:rPr>
          <w:kern w:val="16"/>
        </w:rPr>
        <w:t>quantitatively estimated in realistic scenarios.</w:t>
      </w:r>
    </w:p>
    <w:p w:rsidR="00447E9A" w:rsidRDefault="00447E9A" w:rsidP="00447E9A">
      <w:pPr>
        <w:pStyle w:val="BodyTextIndent"/>
        <w:rPr>
          <w:i/>
          <w:kern w:val="16"/>
          <w:vertAlign w:val="superscript"/>
        </w:rPr>
      </w:pPr>
      <w:r>
        <w:rPr>
          <w:rStyle w:val="SubtleEmphasis"/>
          <w:color w:val="auto"/>
        </w:rPr>
        <w:t xml:space="preserve">Implementation of levelling via </w:t>
      </w:r>
      <w:r w:rsidRPr="00447E9A">
        <w:rPr>
          <w:i/>
          <w:kern w:val="16"/>
        </w:rPr>
        <w:sym w:font="Symbol" w:char="F062"/>
      </w:r>
      <w:r w:rsidRPr="00447E9A">
        <w:rPr>
          <w:i/>
          <w:kern w:val="16"/>
          <w:vertAlign w:val="superscript"/>
        </w:rPr>
        <w:t>*</w:t>
      </w:r>
    </w:p>
    <w:p w:rsidR="00447E9A" w:rsidRDefault="00447E9A" w:rsidP="00447E9A">
      <w:pPr>
        <w:pStyle w:val="BodyTextIndent"/>
        <w:ind w:firstLine="0"/>
        <w:rPr>
          <w:rStyle w:val="SubtleEmphasis"/>
          <w:i w:val="0"/>
          <w:color w:val="auto"/>
        </w:rPr>
      </w:pPr>
      <w:r>
        <w:rPr>
          <w:rStyle w:val="SubtleEmphasis"/>
          <w:i w:val="0"/>
          <w:color w:val="auto"/>
        </w:rPr>
        <w:t xml:space="preserve">The significant advantage of </w:t>
      </w:r>
      <w:r w:rsidR="00A06FB3">
        <w:rPr>
          <w:kern w:val="16"/>
        </w:rPr>
        <w:t xml:space="preserve">levelling via </w:t>
      </w:r>
      <w:r w:rsidR="00A06FB3" w:rsidRPr="007C5758">
        <w:rPr>
          <w:i/>
          <w:kern w:val="16"/>
        </w:rPr>
        <w:sym w:font="Symbol" w:char="F062"/>
      </w:r>
      <w:r w:rsidR="00A06FB3" w:rsidRPr="007C5758">
        <w:rPr>
          <w:i/>
          <w:kern w:val="16"/>
          <w:vertAlign w:val="superscript"/>
        </w:rPr>
        <w:t>*</w:t>
      </w:r>
      <w:r w:rsidR="00A06FB3">
        <w:rPr>
          <w:kern w:val="16"/>
        </w:rPr>
        <w:t xml:space="preserve"> </w:t>
      </w:r>
      <w:r>
        <w:rPr>
          <w:rStyle w:val="SubtleEmphasis"/>
          <w:i w:val="0"/>
          <w:color w:val="auto"/>
        </w:rPr>
        <w:t>is the absence of specific hardware requirements ex</w:t>
      </w:r>
      <w:r w:rsidR="00A06FB3">
        <w:rPr>
          <w:rStyle w:val="SubtleEmphasis"/>
          <w:i w:val="0"/>
          <w:color w:val="auto"/>
        </w:rPr>
        <w:t xml:space="preserve">cept possibly </w:t>
      </w:r>
      <w:r>
        <w:rPr>
          <w:rStyle w:val="SubtleEmphasis"/>
          <w:i w:val="0"/>
          <w:color w:val="auto"/>
        </w:rPr>
        <w:t>an increased strength of the separation bump correctors to allow the second strategy.</w:t>
      </w:r>
    </w:p>
    <w:p w:rsidR="00447E9A" w:rsidRDefault="00447E9A" w:rsidP="00447E9A">
      <w:pPr>
        <w:pStyle w:val="BodyTextIndent"/>
        <w:ind w:firstLine="0"/>
        <w:rPr>
          <w:rStyle w:val="SubtleEmphasis"/>
          <w:i w:val="0"/>
          <w:color w:val="auto"/>
        </w:rPr>
      </w:pPr>
      <w:r>
        <w:rPr>
          <w:rStyle w:val="SubtleEmphasis"/>
          <w:i w:val="0"/>
          <w:color w:val="auto"/>
        </w:rPr>
        <w:t xml:space="preserve">In operation, this method </w:t>
      </w:r>
      <w:r w:rsidR="00A06FB3">
        <w:rPr>
          <w:rStyle w:val="SubtleEmphasis"/>
          <w:i w:val="0"/>
          <w:color w:val="auto"/>
        </w:rPr>
        <w:t>is expected to be</w:t>
      </w:r>
      <w:r>
        <w:rPr>
          <w:rStyle w:val="SubtleEmphasis"/>
          <w:i w:val="0"/>
          <w:color w:val="auto"/>
        </w:rPr>
        <w:t xml:space="preserve"> challenging, due to a </w:t>
      </w:r>
      <w:r w:rsidR="003733AB">
        <w:rPr>
          <w:rStyle w:val="SubtleEmphasis"/>
          <w:i w:val="0"/>
          <w:color w:val="auto"/>
        </w:rPr>
        <w:t xml:space="preserve">large </w:t>
      </w:r>
      <w:r>
        <w:rPr>
          <w:rStyle w:val="SubtleEmphasis"/>
          <w:i w:val="0"/>
          <w:color w:val="auto"/>
        </w:rPr>
        <w:t xml:space="preserve">number of optical side effects in addition to possible variations of the beam-beam problem. The tunes, </w:t>
      </w:r>
      <w:proofErr w:type="spellStart"/>
      <w:r>
        <w:rPr>
          <w:rStyle w:val="SubtleEmphasis"/>
          <w:i w:val="0"/>
          <w:color w:val="auto"/>
        </w:rPr>
        <w:t>chromaticities</w:t>
      </w:r>
      <w:proofErr w:type="spellEnd"/>
      <w:r>
        <w:rPr>
          <w:rStyle w:val="SubtleEmphasis"/>
          <w:i w:val="0"/>
          <w:color w:val="auto"/>
        </w:rPr>
        <w:t>, linear coupling, the closed orbit</w:t>
      </w:r>
      <w:r w:rsidR="006F000B">
        <w:rPr>
          <w:rStyle w:val="SubtleEmphasis"/>
          <w:i w:val="0"/>
          <w:color w:val="auto"/>
        </w:rPr>
        <w:t>s</w:t>
      </w:r>
      <w:r>
        <w:rPr>
          <w:rStyle w:val="SubtleEmphasis"/>
          <w:i w:val="0"/>
          <w:color w:val="auto"/>
        </w:rPr>
        <w:t xml:space="preserve"> all around the machine, especially the beam overlap at the crossing points will change and need corrections or feedback of high precision without interruption of the data taking.</w:t>
      </w:r>
    </w:p>
    <w:p w:rsidR="00447E9A" w:rsidRPr="00447E9A" w:rsidRDefault="00447E9A" w:rsidP="00447E9A">
      <w:pPr>
        <w:pStyle w:val="BodyTextIndent"/>
        <w:ind w:firstLine="0"/>
        <w:rPr>
          <w:rStyle w:val="SubtleEmphasis"/>
          <w:i w:val="0"/>
          <w:color w:val="auto"/>
        </w:rPr>
      </w:pPr>
      <w:r>
        <w:rPr>
          <w:rStyle w:val="SubtleEmphasis"/>
          <w:i w:val="0"/>
          <w:color w:val="auto"/>
        </w:rPr>
        <w:t xml:space="preserve">At the </w:t>
      </w:r>
      <w:proofErr w:type="spellStart"/>
      <w:r>
        <w:rPr>
          <w:rStyle w:val="SubtleEmphasis"/>
          <w:i w:val="0"/>
          <w:color w:val="auto"/>
        </w:rPr>
        <w:t>Tevatron</w:t>
      </w:r>
      <w:proofErr w:type="spellEnd"/>
      <w:r>
        <w:rPr>
          <w:rStyle w:val="SubtleEmphasis"/>
          <w:i w:val="0"/>
          <w:color w:val="auto"/>
        </w:rPr>
        <w:t xml:space="preserve">, this method was contemplated but never implemented: given </w:t>
      </w:r>
      <w:r w:rsidR="006F000B">
        <w:rPr>
          <w:rStyle w:val="SubtleEmphasis"/>
          <w:i w:val="0"/>
          <w:color w:val="auto"/>
        </w:rPr>
        <w:t>the observed</w:t>
      </w:r>
      <w:r>
        <w:rPr>
          <w:rStyle w:val="SubtleEmphasis"/>
          <w:i w:val="0"/>
          <w:color w:val="auto"/>
        </w:rPr>
        <w:t xml:space="preserve"> extreme sensitivity </w:t>
      </w:r>
      <w:r w:rsidR="006F000B">
        <w:rPr>
          <w:rStyle w:val="SubtleEmphasis"/>
          <w:i w:val="0"/>
          <w:color w:val="auto"/>
        </w:rPr>
        <w:t xml:space="preserve">of the </w:t>
      </w:r>
      <w:proofErr w:type="spellStart"/>
      <w:r w:rsidR="006F000B">
        <w:rPr>
          <w:rStyle w:val="SubtleEmphasis"/>
          <w:i w:val="0"/>
          <w:color w:val="auto"/>
        </w:rPr>
        <w:t>Tevatron</w:t>
      </w:r>
      <w:proofErr w:type="spellEnd"/>
      <w:r w:rsidR="006F000B">
        <w:rPr>
          <w:rStyle w:val="SubtleEmphasis"/>
          <w:i w:val="0"/>
          <w:color w:val="auto"/>
        </w:rPr>
        <w:t xml:space="preserve"> beams </w:t>
      </w:r>
      <w:r>
        <w:rPr>
          <w:rStyle w:val="SubtleEmphasis"/>
          <w:i w:val="0"/>
          <w:color w:val="auto"/>
        </w:rPr>
        <w:t xml:space="preserve">to optics changes, </w:t>
      </w:r>
      <w:r w:rsidR="006F000B">
        <w:rPr>
          <w:rStyle w:val="SubtleEmphasis"/>
          <w:i w:val="0"/>
          <w:color w:val="auto"/>
        </w:rPr>
        <w:t xml:space="preserve">only one </w:t>
      </w:r>
      <w:r w:rsidR="006F000B" w:rsidRPr="007C5758">
        <w:rPr>
          <w:i/>
          <w:kern w:val="16"/>
        </w:rPr>
        <w:sym w:font="Symbol" w:char="F062"/>
      </w:r>
      <w:r w:rsidR="006F000B" w:rsidRPr="007C5758">
        <w:rPr>
          <w:i/>
          <w:kern w:val="16"/>
          <w:vertAlign w:val="superscript"/>
        </w:rPr>
        <w:t>*</w:t>
      </w:r>
      <w:r w:rsidR="006F000B">
        <w:rPr>
          <w:kern w:val="16"/>
        </w:rPr>
        <w:t xml:space="preserve"> step change could be considered, requiring switching off the detectors and separating the beams prior to </w:t>
      </w:r>
      <w:r w:rsidR="00E51924">
        <w:rPr>
          <w:kern w:val="16"/>
        </w:rPr>
        <w:t xml:space="preserve">the </w:t>
      </w:r>
      <w:r w:rsidR="006F000B" w:rsidRPr="007C5758">
        <w:rPr>
          <w:i/>
          <w:kern w:val="16"/>
        </w:rPr>
        <w:sym w:font="Symbol" w:char="F062"/>
      </w:r>
      <w:r w:rsidR="006F000B" w:rsidRPr="007C5758">
        <w:rPr>
          <w:i/>
          <w:kern w:val="16"/>
          <w:vertAlign w:val="superscript"/>
        </w:rPr>
        <w:t>*</w:t>
      </w:r>
      <w:r w:rsidR="006F000B">
        <w:rPr>
          <w:kern w:val="16"/>
        </w:rPr>
        <w:t xml:space="preserve"> step change. The overhead of the method and required development time</w:t>
      </w:r>
      <w:r w:rsidR="003733AB">
        <w:rPr>
          <w:kern w:val="16"/>
        </w:rPr>
        <w:t xml:space="preserve"> was considered not rewarding [2</w:t>
      </w:r>
      <w:r w:rsidR="006F000B">
        <w:rPr>
          <w:kern w:val="16"/>
        </w:rPr>
        <w:t>].</w:t>
      </w:r>
    </w:p>
    <w:p w:rsidR="00447E9A" w:rsidRPr="00761435" w:rsidRDefault="00447E9A" w:rsidP="0075610F">
      <w:pPr>
        <w:rPr>
          <w:rStyle w:val="SubtleEmphasis"/>
          <w:i w:val="0"/>
          <w:color w:val="auto"/>
        </w:rPr>
      </w:pPr>
    </w:p>
    <w:p w:rsidR="005B07DB" w:rsidRDefault="005B07DB" w:rsidP="005B07DB">
      <w:pPr>
        <w:pStyle w:val="Heading3"/>
        <w:rPr>
          <w:vertAlign w:val="subscript"/>
        </w:rPr>
      </w:pPr>
      <w:r>
        <w:t xml:space="preserve">Levelling via the crossing angle </w:t>
      </w:r>
      <w:r w:rsidRPr="007C5758">
        <w:sym w:font="Symbol" w:char="F071"/>
      </w:r>
      <w:r w:rsidRPr="007C5758">
        <w:rPr>
          <w:vertAlign w:val="subscript"/>
        </w:rPr>
        <w:t>c</w:t>
      </w:r>
    </w:p>
    <w:p w:rsidR="00A357B2" w:rsidRPr="001070E9" w:rsidRDefault="00A357B2" w:rsidP="001070E9">
      <w:pPr>
        <w:pStyle w:val="BodyTextIndent"/>
        <w:rPr>
          <w:kern w:val="16"/>
        </w:rPr>
      </w:pPr>
      <w:r>
        <w:t>The fundamental difference</w:t>
      </w:r>
      <w:r w:rsidR="00E51924">
        <w:t xml:space="preserve"> between the levelling via </w:t>
      </w:r>
      <w:r w:rsidR="00E51924" w:rsidRPr="007C5758">
        <w:rPr>
          <w:i/>
        </w:rPr>
        <w:sym w:font="Symbol" w:char="F071"/>
      </w:r>
      <w:r w:rsidR="00E51924" w:rsidRPr="007C5758">
        <w:rPr>
          <w:i/>
          <w:vertAlign w:val="subscript"/>
        </w:rPr>
        <w:t>c</w:t>
      </w:r>
      <w:r w:rsidR="00E51924">
        <w:t xml:space="preserve"> and the levelling via </w:t>
      </w:r>
      <w:r w:rsidR="00E51924" w:rsidRPr="007C5758">
        <w:rPr>
          <w:i/>
          <w:kern w:val="16"/>
        </w:rPr>
        <w:sym w:font="Symbol" w:char="F062"/>
      </w:r>
      <w:r w:rsidR="00E51924" w:rsidRPr="007C5758">
        <w:rPr>
          <w:i/>
          <w:kern w:val="16"/>
          <w:vertAlign w:val="superscript"/>
        </w:rPr>
        <w:t>*</w:t>
      </w:r>
      <w:r w:rsidR="00E51924">
        <w:rPr>
          <w:kern w:val="16"/>
        </w:rPr>
        <w:t xml:space="preserve"> discussed above ste</w:t>
      </w:r>
      <w:r w:rsidR="003733AB">
        <w:rPr>
          <w:kern w:val="16"/>
        </w:rPr>
        <w:t>ms from the different dependencies of the luminosity and</w:t>
      </w:r>
      <w:r w:rsidR="00E51924">
        <w:rPr>
          <w:kern w:val="16"/>
        </w:rPr>
        <w:t xml:space="preserve"> beam-beam tune shift (Eq. 1). </w:t>
      </w:r>
      <w:r w:rsidR="003733AB">
        <w:rPr>
          <w:kern w:val="16"/>
        </w:rPr>
        <w:t>The major difference arises i</w:t>
      </w:r>
      <w:r w:rsidR="00E51924">
        <w:rPr>
          <w:kern w:val="16"/>
        </w:rPr>
        <w:t xml:space="preserve">n the initial phase of the levelling, </w:t>
      </w:r>
      <w:r w:rsidR="003733AB">
        <w:rPr>
          <w:kern w:val="16"/>
        </w:rPr>
        <w:t xml:space="preserve">where </w:t>
      </w:r>
      <w:r w:rsidR="00E51924">
        <w:rPr>
          <w:kern w:val="16"/>
        </w:rPr>
        <w:t>the beam-beam tune shift is reduced</w:t>
      </w:r>
      <w:r w:rsidR="003733AB">
        <w:rPr>
          <w:kern w:val="16"/>
        </w:rPr>
        <w:t xml:space="preserve"> instead of being increased,</w:t>
      </w:r>
      <w:r w:rsidR="00E51924">
        <w:rPr>
          <w:kern w:val="16"/>
        </w:rPr>
        <w:t xml:space="preserve"> just like the luminosity is reduced with respect to its peak value without levelling. This offers a new degree of freedom whereby the bunch charge can be increased above the maximum value allowed without luminosity levell</w:t>
      </w:r>
      <w:r w:rsidR="003733AB">
        <w:rPr>
          <w:kern w:val="16"/>
        </w:rPr>
        <w:t xml:space="preserve">ing. This maximum value is </w:t>
      </w:r>
      <w:r w:rsidR="00E51924">
        <w:rPr>
          <w:kern w:val="16"/>
        </w:rPr>
        <w:t xml:space="preserve">defined by single beam </w:t>
      </w:r>
      <w:r w:rsidR="003733AB">
        <w:rPr>
          <w:kern w:val="16"/>
        </w:rPr>
        <w:t>intensity limit</w:t>
      </w:r>
      <w:r w:rsidR="00E51924">
        <w:rPr>
          <w:kern w:val="16"/>
        </w:rPr>
        <w:t xml:space="preserve">. In other words, this levelling principle allows stocking “spectator” protons that will be gradually put into </w:t>
      </w:r>
      <w:r w:rsidR="003733AB">
        <w:rPr>
          <w:kern w:val="16"/>
        </w:rPr>
        <w:t>operation as the crossing angle is</w:t>
      </w:r>
      <w:r w:rsidR="00E51924">
        <w:rPr>
          <w:kern w:val="16"/>
        </w:rPr>
        <w:t xml:space="preserve"> reduced. This method has been carefully analyzed as an important application o</w:t>
      </w:r>
      <w:r w:rsidR="003733AB">
        <w:rPr>
          <w:kern w:val="16"/>
        </w:rPr>
        <w:t>f the Early Separation Scheme [6] [4</w:t>
      </w:r>
      <w:r w:rsidR="00E51924">
        <w:rPr>
          <w:kern w:val="16"/>
        </w:rPr>
        <w:t>].</w:t>
      </w:r>
      <w:r w:rsidR="00505D18">
        <w:rPr>
          <w:kern w:val="16"/>
        </w:rPr>
        <w:t xml:space="preserve"> Examples of scenarios are given on</w:t>
      </w:r>
      <w:r w:rsidR="00107824">
        <w:rPr>
          <w:kern w:val="16"/>
        </w:rPr>
        <w:t xml:space="preserve"> figure 2</w:t>
      </w:r>
      <w:r w:rsidR="00505D18">
        <w:rPr>
          <w:kern w:val="16"/>
        </w:rPr>
        <w:t xml:space="preserve">. </w:t>
      </w:r>
      <w:r w:rsidR="001070E9">
        <w:rPr>
          <w:kern w:val="16"/>
        </w:rPr>
        <w:t>The duration</w:t>
      </w:r>
      <w:r w:rsidR="006900E9">
        <w:rPr>
          <w:kern w:val="16"/>
        </w:rPr>
        <w:t xml:space="preserve"> </w:t>
      </w:r>
      <w:r w:rsidR="0091189D">
        <w:t xml:space="preserve">of the levelled plateau depends on the choice of the </w:t>
      </w:r>
      <w:r w:rsidR="001070E9">
        <w:t xml:space="preserve">value of the </w:t>
      </w:r>
      <w:r w:rsidR="0091189D">
        <w:t>levelled luminosity and on the implementation of the variable crossing angle. All intermediate scenarios are possible. One can note that, at the estimate</w:t>
      </w:r>
      <w:r w:rsidR="00727DE6">
        <w:t>d</w:t>
      </w:r>
      <w:r w:rsidR="0091189D">
        <w:t xml:space="preserve"> bunch charge limit </w:t>
      </w:r>
      <w:r w:rsidR="00727DE6">
        <w:t>given by</w:t>
      </w:r>
      <w:r w:rsidR="0091189D">
        <w:t xml:space="preserve"> the electron cloud effect, a very large luminosity can be sustained during about one shift. A qualitative advantage of th</w:t>
      </w:r>
      <w:r w:rsidR="001070E9">
        <w:t>e scheme is apparent on figure 2</w:t>
      </w:r>
      <w:r w:rsidR="0091189D">
        <w:t>: h</w:t>
      </w:r>
      <w:r w:rsidR="00727DE6">
        <w:t>igh intensity beams suffer low</w:t>
      </w:r>
      <w:r w:rsidR="0091189D">
        <w:t xml:space="preserve"> beam-beam tune shifts </w:t>
      </w:r>
      <w:r w:rsidR="001070E9">
        <w:t>and vice-versa.</w:t>
      </w:r>
      <w:r w:rsidR="00727DE6">
        <w:t xml:space="preserve"> </w:t>
      </w:r>
      <w:r w:rsidR="001070E9">
        <w:t>This is likely to decrease</w:t>
      </w:r>
      <w:r w:rsidR="00727DE6">
        <w:t xml:space="preserve"> the overall complexity.</w:t>
      </w:r>
    </w:p>
    <w:p w:rsidR="00727DE6" w:rsidRDefault="00727DE6" w:rsidP="006900E9">
      <w:pPr>
        <w:pStyle w:val="BodyTextIndent"/>
        <w:ind w:firstLine="0"/>
      </w:pPr>
    </w:p>
    <w:p w:rsidR="002E3ED2" w:rsidRDefault="002E3ED2" w:rsidP="006900E9">
      <w:pPr>
        <w:pStyle w:val="BodyTextIndent"/>
        <w:ind w:firstLine="0"/>
      </w:pPr>
      <w:r>
        <w:rPr>
          <w:noProof/>
          <w:lang w:val="en-US"/>
        </w:rPr>
        <w:drawing>
          <wp:anchor distT="0" distB="0" distL="114300" distR="114300" simplePos="0" relativeHeight="251663360" behindDoc="0" locked="0" layoutInCell="1" allowOverlap="1">
            <wp:simplePos x="0" y="0"/>
            <wp:positionH relativeFrom="column">
              <wp:posOffset>3174365</wp:posOffset>
            </wp:positionH>
            <wp:positionV relativeFrom="paragraph">
              <wp:posOffset>-7814945</wp:posOffset>
            </wp:positionV>
            <wp:extent cx="2962910" cy="2483485"/>
            <wp:effectExtent l="19050" t="0" r="8890" b="0"/>
            <wp:wrapTopAndBottom/>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14974" cy="4357718"/>
                      <a:chOff x="214282" y="1928802"/>
                      <a:chExt cx="5214974" cy="4357718"/>
                    </a:xfrm>
                  </a:grpSpPr>
                  <a:grpSp>
                    <a:nvGrpSpPr>
                      <a:cNvPr id="14" name="Group 13"/>
                      <a:cNvGrpSpPr/>
                    </a:nvGrpSpPr>
                    <a:grpSpPr>
                      <a:xfrm>
                        <a:off x="214282" y="1928802"/>
                        <a:ext cx="5214974" cy="4357718"/>
                        <a:chOff x="1214414" y="285728"/>
                        <a:chExt cx="6145235" cy="5721130"/>
                      </a:xfrm>
                    </a:grpSpPr>
                    <a:grpSp>
                      <a:nvGrpSpPr>
                        <a:cNvPr id="3" name="Group 12"/>
                        <a:cNvGrpSpPr/>
                      </a:nvGrpSpPr>
                      <a:grpSpPr>
                        <a:xfrm>
                          <a:off x="1214414" y="857232"/>
                          <a:ext cx="6145235" cy="5149626"/>
                          <a:chOff x="1571604" y="500042"/>
                          <a:chExt cx="6145235" cy="5149626"/>
                        </a:xfrm>
                      </a:grpSpPr>
                      <a:grpSp>
                        <a:nvGrpSpPr>
                          <a:cNvPr id="5" name="Group 8"/>
                          <a:cNvGrpSpPr/>
                        </a:nvGrpSpPr>
                        <a:grpSpPr>
                          <a:xfrm>
                            <a:off x="1571604" y="500042"/>
                            <a:ext cx="6145235" cy="5149626"/>
                            <a:chOff x="1571604" y="500042"/>
                            <a:chExt cx="6145235" cy="5149626"/>
                          </a:xfrm>
                        </a:grpSpPr>
                        <a:pic>
                          <a:nvPicPr>
                            <a:cNvPr id="30723" name="Picture 3" descr="C:\Documents and Settings\jpk\My Documents\JPK.jpg"/>
                            <a:cNvPicPr>
                              <a:picLocks noChangeAspect="1" noChangeArrowheads="1"/>
                            </a:cNvPicPr>
                          </a:nvPicPr>
                          <a:blipFill>
                            <a:blip r:embed="rId17" cstate="print"/>
                            <a:srcRect/>
                            <a:stretch>
                              <a:fillRect/>
                            </a:stretch>
                          </a:blipFill>
                          <a:spPr bwMode="auto">
                            <a:xfrm>
                              <a:off x="1214414" y="857232"/>
                              <a:ext cx="6145235" cy="5149626"/>
                            </a:xfrm>
                            <a:prstGeom prst="rect">
                              <a:avLst/>
                            </a:prstGeom>
                            <a:noFill/>
                          </a:spPr>
                        </a:pic>
                        <a:sp>
                          <a:nvSpPr>
                            <a:cNvPr id="8" name="TextBox 7"/>
                            <a:cNvSpPr txBox="1"/>
                          </a:nvSpPr>
                          <a:spPr>
                            <a:xfrm>
                              <a:off x="4429124" y="785794"/>
                              <a:ext cx="357190" cy="400110"/>
                            </a:xfrm>
                            <a:prstGeom prst="rect">
                              <a:avLst/>
                            </a:prstGeom>
                            <a:noFill/>
                          </a:spPr>
                          <a:txSp>
                            <a:txBody>
                              <a:bodyPr wrap="square" rtlCol="0">
                                <a:spAutoFit/>
                              </a:bodyPr>
                              <a:lstStyle>
                                <a:defPPr>
                                  <a:defRPr lang="en-US"/>
                                </a:defPPr>
                                <a:lvl1pPr algn="ctr" rtl="0" eaLnBrk="0" fontAlgn="base" hangingPunct="0">
                                  <a:spcBef>
                                    <a:spcPct val="0"/>
                                  </a:spcBef>
                                  <a:spcAft>
                                    <a:spcPct val="0"/>
                                  </a:spcAft>
                                  <a:defRPr sz="2400" b="1" i="1"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5pPr>
                                <a:lvl6pPr marL="2286000" algn="l" defTabSz="914400" rtl="0" eaLnBrk="1" latinLnBrk="0" hangingPunct="1">
                                  <a:defRPr sz="2400" b="1" i="1" kern="1200">
                                    <a:solidFill>
                                      <a:schemeClr val="tx1"/>
                                    </a:solidFill>
                                    <a:latin typeface="Times New Roman" pitchFamily="18" charset="0"/>
                                    <a:ea typeface="+mn-ea"/>
                                    <a:cs typeface="+mn-cs"/>
                                  </a:defRPr>
                                </a:lvl6pPr>
                                <a:lvl7pPr marL="2743200" algn="l" defTabSz="914400" rtl="0" eaLnBrk="1" latinLnBrk="0" hangingPunct="1">
                                  <a:defRPr sz="2400" b="1" i="1" kern="1200">
                                    <a:solidFill>
                                      <a:schemeClr val="tx1"/>
                                    </a:solidFill>
                                    <a:latin typeface="Times New Roman" pitchFamily="18" charset="0"/>
                                    <a:ea typeface="+mn-ea"/>
                                    <a:cs typeface="+mn-cs"/>
                                  </a:defRPr>
                                </a:lvl7pPr>
                                <a:lvl8pPr marL="3200400" algn="l" defTabSz="914400" rtl="0" eaLnBrk="1" latinLnBrk="0" hangingPunct="1">
                                  <a:defRPr sz="2400" b="1" i="1" kern="1200">
                                    <a:solidFill>
                                      <a:schemeClr val="tx1"/>
                                    </a:solidFill>
                                    <a:latin typeface="Times New Roman" pitchFamily="18" charset="0"/>
                                    <a:ea typeface="+mn-ea"/>
                                    <a:cs typeface="+mn-cs"/>
                                  </a:defRPr>
                                </a:lvl8pPr>
                                <a:lvl9pPr marL="3657600" algn="l" defTabSz="914400" rtl="0" eaLnBrk="1" latinLnBrk="0" hangingPunct="1">
                                  <a:defRPr sz="2400" b="1" i="1" kern="1200">
                                    <a:solidFill>
                                      <a:schemeClr val="tx1"/>
                                    </a:solidFill>
                                    <a:latin typeface="Times New Roman" pitchFamily="18" charset="0"/>
                                    <a:ea typeface="+mn-ea"/>
                                    <a:cs typeface="+mn-cs"/>
                                  </a:defRPr>
                                </a:lvl9pPr>
                              </a:lstStyle>
                              <a:p>
                                <a:r>
                                  <a:rPr lang="en-US" sz="2000" dirty="0" smtClean="0"/>
                                  <a:t>+</a:t>
                                </a:r>
                                <a:endParaRPr lang="en-US" sz="2000" dirty="0"/>
                              </a:p>
                            </a:txBody>
                            <a:useSpRect/>
                          </a:txSp>
                        </a:sp>
                      </a:grpSp>
                      <a:sp>
                        <a:nvSpPr>
                          <a:cNvPr id="11" name="Down Arrow 10"/>
                          <a:cNvSpPr/>
                        </a:nvSpPr>
                        <a:spPr bwMode="auto">
                          <a:xfrm>
                            <a:off x="2786050" y="500042"/>
                            <a:ext cx="428628" cy="500066"/>
                          </a:xfrm>
                          <a:prstGeom prst="downArrow">
                            <a:avLst/>
                          </a:prstGeom>
                          <a:solidFill>
                            <a:schemeClr val="accent1"/>
                          </a:solidFill>
                          <a:ln w="9525"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bodyPr>
                            <a:lstStyle>
                              <a:defPPr>
                                <a:defRPr lang="en-US"/>
                              </a:defPPr>
                              <a:lvl1pPr algn="ctr" rtl="0" eaLnBrk="0" fontAlgn="base" hangingPunct="0">
                                <a:spcBef>
                                  <a:spcPct val="0"/>
                                </a:spcBef>
                                <a:spcAft>
                                  <a:spcPct val="0"/>
                                </a:spcAft>
                                <a:defRPr sz="2400" b="1" i="1"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5pPr>
                              <a:lvl6pPr marL="2286000" algn="l" defTabSz="914400" rtl="0" eaLnBrk="1" latinLnBrk="0" hangingPunct="1">
                                <a:defRPr sz="2400" b="1" i="1" kern="1200">
                                  <a:solidFill>
                                    <a:schemeClr val="tx1"/>
                                  </a:solidFill>
                                  <a:latin typeface="Times New Roman" pitchFamily="18" charset="0"/>
                                  <a:ea typeface="+mn-ea"/>
                                  <a:cs typeface="+mn-cs"/>
                                </a:defRPr>
                              </a:lvl6pPr>
                              <a:lvl7pPr marL="2743200" algn="l" defTabSz="914400" rtl="0" eaLnBrk="1" latinLnBrk="0" hangingPunct="1">
                                <a:defRPr sz="2400" b="1" i="1" kern="1200">
                                  <a:solidFill>
                                    <a:schemeClr val="tx1"/>
                                  </a:solidFill>
                                  <a:latin typeface="Times New Roman" pitchFamily="18" charset="0"/>
                                  <a:ea typeface="+mn-ea"/>
                                  <a:cs typeface="+mn-cs"/>
                                </a:defRPr>
                              </a:lvl7pPr>
                              <a:lvl8pPr marL="3200400" algn="l" defTabSz="914400" rtl="0" eaLnBrk="1" latinLnBrk="0" hangingPunct="1">
                                <a:defRPr sz="2400" b="1" i="1" kern="1200">
                                  <a:solidFill>
                                    <a:schemeClr val="tx1"/>
                                  </a:solidFill>
                                  <a:latin typeface="Times New Roman" pitchFamily="18" charset="0"/>
                                  <a:ea typeface="+mn-ea"/>
                                  <a:cs typeface="+mn-cs"/>
                                </a:defRPr>
                              </a:lvl8pPr>
                              <a:lvl9pPr marL="3657600" algn="l" defTabSz="914400" rtl="0" eaLnBrk="1" latinLnBrk="0" hangingPunct="1">
                                <a:defRPr sz="2400" b="1" i="1" kern="1200">
                                  <a:solidFill>
                                    <a:schemeClr val="tx1"/>
                                  </a:solidFill>
                                  <a:latin typeface="Times New Roman" pitchFamily="18" charset="0"/>
                                  <a:ea typeface="+mn-ea"/>
                                  <a:cs typeface="+mn-cs"/>
                                </a:defRPr>
                              </a:lvl9pPr>
                            </a:lstStyle>
                            <a:p>
                              <a:pPr marL="0" marR="0" indent="0" algn="ctr" defTabSz="914400" rtl="0" eaLnBrk="0" fontAlgn="base" latinLnBrk="0" hangingPunct="0">
                                <a:lnSpc>
                                  <a:spcPct val="100000"/>
                                </a:lnSpc>
                                <a:spcBef>
                                  <a:spcPct val="0"/>
                                </a:spcBef>
                                <a:spcAft>
                                  <a:spcPct val="0"/>
                                </a:spcAft>
                                <a:buClrTx/>
                                <a:buSzTx/>
                                <a:buFontTx/>
                                <a:buNone/>
                                <a:tabLst/>
                              </a:pPr>
                              <a:endParaRPr kumimoji="0" lang="en-US" sz="2400" b="1" i="1" u="none" strike="noStrike" cap="none" normalizeH="0" baseline="0" smtClean="0">
                                <a:ln>
                                  <a:noFill/>
                                </a:ln>
                                <a:solidFill>
                                  <a:schemeClr val="tx1"/>
                                </a:solidFill>
                                <a:effectLst/>
                                <a:latin typeface="Times New Roman" pitchFamily="18" charset="0"/>
                              </a:endParaRPr>
                            </a:p>
                          </a:txBody>
                          <a:useSpRect/>
                        </a:txSp>
                      </a:sp>
                    </a:grpSp>
                    <a:sp>
                      <a:nvSpPr>
                        <a:cNvPr id="12" name="TextBox 11"/>
                        <a:cNvSpPr txBox="1"/>
                      </a:nvSpPr>
                      <a:spPr>
                        <a:xfrm>
                          <a:off x="1285852" y="285728"/>
                          <a:ext cx="2117276" cy="767735"/>
                        </a:xfrm>
                        <a:prstGeom prst="rect">
                          <a:avLst/>
                        </a:prstGeom>
                        <a:noFill/>
                      </a:spPr>
                      <a:txSp>
                        <a:txBody>
                          <a:bodyPr wrap="square" rtlCol="0">
                            <a:spAutoFit/>
                          </a:bodyPr>
                          <a:lstStyle>
                            <a:defPPr>
                              <a:defRPr lang="en-US"/>
                            </a:defPPr>
                            <a:lvl1pPr algn="ctr" rtl="0" eaLnBrk="0" fontAlgn="base" hangingPunct="0">
                              <a:spcBef>
                                <a:spcPct val="0"/>
                              </a:spcBef>
                              <a:spcAft>
                                <a:spcPct val="0"/>
                              </a:spcAft>
                              <a:defRPr sz="2400" b="1" i="1" kern="1200">
                                <a:solidFill>
                                  <a:schemeClr val="tx1"/>
                                </a:solidFill>
                                <a:latin typeface="Times New Roman" pitchFamily="18" charset="0"/>
                                <a:ea typeface="+mn-ea"/>
                                <a:cs typeface="+mn-cs"/>
                              </a:defRPr>
                            </a:lvl1pPr>
                            <a:lvl2pPr marL="4572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2pPr>
                            <a:lvl3pPr marL="9144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3pPr>
                            <a:lvl4pPr marL="13716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4pPr>
                            <a:lvl5pPr marL="1828800" algn="ctr" rtl="0" eaLnBrk="0" fontAlgn="base" hangingPunct="0">
                              <a:spcBef>
                                <a:spcPct val="0"/>
                              </a:spcBef>
                              <a:spcAft>
                                <a:spcPct val="0"/>
                              </a:spcAft>
                              <a:defRPr sz="2400" b="1" i="1" kern="1200">
                                <a:solidFill>
                                  <a:schemeClr val="tx1"/>
                                </a:solidFill>
                                <a:latin typeface="Times New Roman" pitchFamily="18" charset="0"/>
                                <a:ea typeface="+mn-ea"/>
                                <a:cs typeface="+mn-cs"/>
                              </a:defRPr>
                            </a:lvl5pPr>
                            <a:lvl6pPr marL="2286000" algn="l" defTabSz="914400" rtl="0" eaLnBrk="1" latinLnBrk="0" hangingPunct="1">
                              <a:defRPr sz="2400" b="1" i="1" kern="1200">
                                <a:solidFill>
                                  <a:schemeClr val="tx1"/>
                                </a:solidFill>
                                <a:latin typeface="Times New Roman" pitchFamily="18" charset="0"/>
                                <a:ea typeface="+mn-ea"/>
                                <a:cs typeface="+mn-cs"/>
                              </a:defRPr>
                            </a:lvl6pPr>
                            <a:lvl7pPr marL="2743200" algn="l" defTabSz="914400" rtl="0" eaLnBrk="1" latinLnBrk="0" hangingPunct="1">
                              <a:defRPr sz="2400" b="1" i="1" kern="1200">
                                <a:solidFill>
                                  <a:schemeClr val="tx1"/>
                                </a:solidFill>
                                <a:latin typeface="Times New Roman" pitchFamily="18" charset="0"/>
                                <a:ea typeface="+mn-ea"/>
                                <a:cs typeface="+mn-cs"/>
                              </a:defRPr>
                            </a:lvl7pPr>
                            <a:lvl8pPr marL="3200400" algn="l" defTabSz="914400" rtl="0" eaLnBrk="1" latinLnBrk="0" hangingPunct="1">
                              <a:defRPr sz="2400" b="1" i="1" kern="1200">
                                <a:solidFill>
                                  <a:schemeClr val="tx1"/>
                                </a:solidFill>
                                <a:latin typeface="Times New Roman" pitchFamily="18" charset="0"/>
                                <a:ea typeface="+mn-ea"/>
                                <a:cs typeface="+mn-cs"/>
                              </a:defRPr>
                            </a:lvl8pPr>
                            <a:lvl9pPr marL="3657600" algn="l" defTabSz="914400" rtl="0" eaLnBrk="1" latinLnBrk="0" hangingPunct="1">
                              <a:defRPr sz="2400" b="1" i="1" kern="1200">
                                <a:solidFill>
                                  <a:schemeClr val="tx1"/>
                                </a:solidFill>
                                <a:latin typeface="Times New Roman" pitchFamily="18" charset="0"/>
                                <a:ea typeface="+mn-ea"/>
                                <a:cs typeface="+mn-cs"/>
                              </a:defRPr>
                            </a:lvl9pPr>
                          </a:lstStyle>
                          <a:p>
                            <a:r>
                              <a:rPr lang="en-US" sz="1600" b="0" i="0" dirty="0" smtClean="0"/>
                              <a:t>Xing bumps + enlarged </a:t>
                            </a:r>
                            <a:r>
                              <a:rPr lang="en-US" sz="1600" b="0" i="0" dirty="0" smtClean="0"/>
                              <a:t>m</a:t>
                            </a:r>
                            <a:r>
                              <a:rPr lang="en-US" sz="1600" b="0" i="0" dirty="0" smtClean="0"/>
                              <a:t>agnets</a:t>
                            </a:r>
                            <a:endParaRPr lang="en-US" sz="1600" b="0" i="0" dirty="0"/>
                          </a:p>
                        </a:txBody>
                        <a:useSpRect/>
                      </a:txSp>
                    </a:sp>
                  </a:grpSp>
                </lc:lockedCanvas>
              </a:graphicData>
            </a:graphic>
          </wp:anchor>
        </w:drawing>
      </w:r>
      <w:r w:rsidR="00727DE6">
        <w:t>The implementation of the levelling via the crossing angle requires new hardware: crab cavities [</w:t>
      </w:r>
      <w:r w:rsidR="00DD3E11">
        <w:t>7</w:t>
      </w:r>
      <w:r w:rsidR="00727DE6">
        <w:t xml:space="preserve">] have the largest potential and </w:t>
      </w:r>
      <w:r w:rsidR="00C9425B">
        <w:t>detector compatibility</w:t>
      </w:r>
      <w:r w:rsidR="00727DE6">
        <w:t>. They rely on</w:t>
      </w:r>
      <w:r>
        <w:t xml:space="preserve"> active systems</w:t>
      </w:r>
      <w:r w:rsidR="00727DE6">
        <w:t xml:space="preserve"> </w:t>
      </w:r>
      <w:r>
        <w:t xml:space="preserve">never implemented so far in </w:t>
      </w:r>
      <w:proofErr w:type="spellStart"/>
      <w:r>
        <w:t>hadron</w:t>
      </w:r>
      <w:proofErr w:type="spellEnd"/>
      <w:r>
        <w:t xml:space="preserve"> machines.</w:t>
      </w:r>
      <w:r w:rsidRPr="002E3ED2">
        <w:t xml:space="preserve"> </w:t>
      </w:r>
      <w:r>
        <w:t xml:space="preserve">The Early Separation Scheme [4] requires the installation </w:t>
      </w:r>
    </w:p>
    <w:p w:rsidR="002E3ED2" w:rsidRPr="00BC249C" w:rsidRDefault="002E3ED2" w:rsidP="002E3ED2">
      <w:pPr>
        <w:pStyle w:val="Caption"/>
        <w:jc w:val="left"/>
        <w:rPr>
          <w:b w:val="0"/>
          <w:i/>
        </w:rPr>
      </w:pPr>
      <w:r w:rsidRPr="00BC249C">
        <w:rPr>
          <w:b w:val="0"/>
          <w:i/>
        </w:rPr>
        <w:t>Figure 2:  Luminosity levelling scenarios via the crossing angle.</w:t>
      </w:r>
    </w:p>
    <w:p w:rsidR="00107824" w:rsidRDefault="002E3ED2" w:rsidP="006900E9">
      <w:pPr>
        <w:pStyle w:val="BodyTextIndent"/>
        <w:ind w:firstLine="0"/>
      </w:pPr>
      <w:proofErr w:type="gramStart"/>
      <w:r>
        <w:t>of</w:t>
      </w:r>
      <w:proofErr w:type="gramEnd"/>
      <w:r>
        <w:t xml:space="preserve"> dipoles at the end of the detectors.</w:t>
      </w:r>
      <w:r w:rsidRPr="002E3ED2">
        <w:t xml:space="preserve"> </w:t>
      </w:r>
      <w:r>
        <w:t>Their potential is slightly less but the technology robust and the system passive. Background to the detectors can be minimized but cannot not suppressed. The standard crossing bumps cannot be used for this type of levelling, as the beam separation at long-range interaction points and in a good fraction of the matching section would be significantly modified. For larger angles, larger aperture magnets would be required. Smaller angles would unacceptably limit the maximum bunch charge.</w:t>
      </w:r>
    </w:p>
    <w:p w:rsidR="003253EC" w:rsidRPr="003253EC" w:rsidRDefault="003253EC" w:rsidP="006900E9">
      <w:pPr>
        <w:pStyle w:val="BodyTextIndent"/>
        <w:ind w:firstLine="0"/>
      </w:pPr>
      <w:r>
        <w:t xml:space="preserve">This levelling method, contrary to levelling via </w:t>
      </w:r>
      <w:r w:rsidRPr="007C5758">
        <w:rPr>
          <w:i/>
          <w:kern w:val="16"/>
        </w:rPr>
        <w:sym w:font="Symbol" w:char="F062"/>
      </w:r>
      <w:r w:rsidRPr="007C5758">
        <w:rPr>
          <w:i/>
          <w:kern w:val="16"/>
          <w:vertAlign w:val="superscript"/>
        </w:rPr>
        <w:t>*</w:t>
      </w:r>
      <w:r>
        <w:rPr>
          <w:kern w:val="16"/>
        </w:rPr>
        <w:t xml:space="preserve"> does not exhibit any optical side effect</w:t>
      </w:r>
      <w:r w:rsidR="00CE786F">
        <w:rPr>
          <w:kern w:val="16"/>
        </w:rPr>
        <w:t xml:space="preserve"> for the beams</w:t>
      </w:r>
      <w:r>
        <w:rPr>
          <w:kern w:val="16"/>
        </w:rPr>
        <w:t xml:space="preserve">. The length of the luminous region </w:t>
      </w:r>
      <w:r w:rsidR="00DD3E11">
        <w:rPr>
          <w:kern w:val="16"/>
        </w:rPr>
        <w:t>is however initially reduced [4</w:t>
      </w:r>
      <w:r>
        <w:rPr>
          <w:kern w:val="16"/>
        </w:rPr>
        <w:t>].</w:t>
      </w:r>
    </w:p>
    <w:p w:rsidR="005B07DB" w:rsidRDefault="005B07DB" w:rsidP="005B07DB">
      <w:pPr>
        <w:pStyle w:val="Heading3"/>
        <w:rPr>
          <w:kern w:val="16"/>
          <w:vertAlign w:val="subscript"/>
        </w:rPr>
      </w:pPr>
      <w:r>
        <w:t xml:space="preserve">Levelling via the bunch length </w:t>
      </w:r>
      <w:r w:rsidRPr="007C5758">
        <w:rPr>
          <w:kern w:val="16"/>
        </w:rPr>
        <w:sym w:font="Symbol" w:char="F073"/>
      </w:r>
      <w:r w:rsidRPr="007C5758">
        <w:rPr>
          <w:kern w:val="16"/>
          <w:vertAlign w:val="subscript"/>
        </w:rPr>
        <w:t>s</w:t>
      </w:r>
    </w:p>
    <w:p w:rsidR="00F83774" w:rsidRPr="007E6E3D" w:rsidRDefault="00FA0676" w:rsidP="00EF3398">
      <w:pPr>
        <w:pStyle w:val="BodyTextIndent"/>
        <w:ind w:firstLine="0"/>
      </w:pPr>
      <w:r>
        <w:t>I</w:t>
      </w:r>
      <w:r w:rsidR="007E6E3D">
        <w:t xml:space="preserve">n equation 1, </w:t>
      </w:r>
      <w:r>
        <w:t>the bunch length and the crossing angle have an identical effect if they can be varied in the same relative range. Levelling via the bunch length has</w:t>
      </w:r>
      <w:r w:rsidR="007E6E3D">
        <w:t xml:space="preserve"> the further advantage of an increase of the length of the luminous region. However, while the crossing angle can be significantly increased and decreased, the range of bunch length variations</w:t>
      </w:r>
      <w:r w:rsidR="00F83774">
        <w:t xml:space="preserve"> is very li</w:t>
      </w:r>
      <w:r>
        <w:t>mited due to its weak dependency</w:t>
      </w:r>
      <w:r w:rsidR="00F83774">
        <w:t xml:space="preserve"> on the RF voltage (power ¼). Lengthening the bunch by a factor of 2 brings the acceleration in a regi</w:t>
      </w:r>
      <w:r>
        <w:t>me dominated by beam loading [8</w:t>
      </w:r>
      <w:r w:rsidR="00F83774">
        <w:t>]. The potential of bunch length reduction is negligible or woul</w:t>
      </w:r>
      <w:r>
        <w:t xml:space="preserve">d require </w:t>
      </w:r>
      <w:r w:rsidR="00EF3398">
        <w:t>an</w:t>
      </w:r>
      <w:r>
        <w:t xml:space="preserve"> un</w:t>
      </w:r>
      <w:r w:rsidR="00F83774">
        <w:t>reas</w:t>
      </w:r>
      <w:r>
        <w:t>onable increase of the</w:t>
      </w:r>
      <w:r w:rsidR="00F83774">
        <w:t xml:space="preserve"> RF voltage.</w:t>
      </w:r>
      <w:r w:rsidR="00EF3398">
        <w:t xml:space="preserve"> </w:t>
      </w:r>
      <w:r w:rsidR="00F83774">
        <w:t>Nevertheless, this method could be seen as a complement at the beginning of the levelling, given its ease of implementation and absence of identified side-effects.</w:t>
      </w:r>
    </w:p>
    <w:p w:rsidR="00356F52" w:rsidRDefault="00356F52" w:rsidP="00356F52">
      <w:pPr>
        <w:pStyle w:val="Heading2"/>
      </w:pPr>
      <w:r>
        <w:t>Beam-beam compensation</w:t>
      </w:r>
    </w:p>
    <w:p w:rsidR="00225E81" w:rsidRPr="00225E81" w:rsidRDefault="00225E81" w:rsidP="00225E81">
      <w:pPr>
        <w:pStyle w:val="Heading3"/>
      </w:pPr>
      <w:r>
        <w:t>Motivations</w:t>
      </w:r>
    </w:p>
    <w:p w:rsidR="008E2BA0" w:rsidRDefault="008E2BA0" w:rsidP="008E2BA0">
      <w:pPr>
        <w:pStyle w:val="BodyTextIndent"/>
      </w:pPr>
      <w:r>
        <w:t>Levelling is an answer to the very fast decay of the luminosity. This is only one aspect of the beam-beam problem. All colliders have experienced the operational difficulties of approaching the so-called beam-beam limit. The latter is indeed fuzzy, has various expressions in various machines and appears to depend on parameters that are not controlled, at least at the required degree of accuracy.</w:t>
      </w:r>
      <w:r w:rsidR="009E77E5">
        <w:t xml:space="preserve"> In addition to the “conventional” beam-beam issues arising from the head-on interactions, LHC is exposed to long-range beam-beam interactions of sufficient strength to set the limit of the LHC performance, in simulation. If these beam-beam limits would be </w:t>
      </w:r>
      <w:r w:rsidR="00E37CD4">
        <w:t>lower than anticipated</w:t>
      </w:r>
      <w:r w:rsidR="009E77E5">
        <w:t xml:space="preserve">, the loss in luminosity </w:t>
      </w:r>
      <w:r w:rsidR="00E37CD4">
        <w:t>would be</w:t>
      </w:r>
      <w:r w:rsidR="009E77E5">
        <w:t xml:space="preserve"> fast, quadratic with the beam-beam limit. Likewise, a potential gain follows the same fast variation...</w:t>
      </w:r>
    </w:p>
    <w:p w:rsidR="009E77E5" w:rsidRDefault="000944D7" w:rsidP="008E2BA0">
      <w:pPr>
        <w:pStyle w:val="BodyTextIndent"/>
      </w:pPr>
      <w:r>
        <w:t>T</w:t>
      </w:r>
      <w:r w:rsidR="00E37CD4">
        <w:t>o illustrate the nature of the</w:t>
      </w:r>
      <w:r w:rsidR="009E77E5">
        <w:t xml:space="preserve"> beam-beam problem </w:t>
      </w:r>
      <w:r>
        <w:t xml:space="preserve">in </w:t>
      </w:r>
      <w:proofErr w:type="spellStart"/>
      <w:r>
        <w:t>hadron</w:t>
      </w:r>
      <w:proofErr w:type="spellEnd"/>
      <w:r>
        <w:t xml:space="preserve"> colliders</w:t>
      </w:r>
      <w:r w:rsidR="00E37CD4">
        <w:t>, that remains largely p</w:t>
      </w:r>
      <w:r w:rsidR="00A0678D">
        <w:t xml:space="preserve">henomenological, a few </w:t>
      </w:r>
      <w:r w:rsidR="00E37CD4">
        <w:t xml:space="preserve">observations are </w:t>
      </w:r>
      <w:r w:rsidR="00A0678D">
        <w:t>provided below. They should shed some light on the beam-beam effect to be expected in the LHC.</w:t>
      </w:r>
      <w:r>
        <w:t xml:space="preserve"> </w:t>
      </w:r>
      <w:r w:rsidR="00A0678D">
        <w:t>Figure 3</w:t>
      </w:r>
      <w:r w:rsidR="008968B5">
        <w:t xml:space="preserve"> </w:t>
      </w:r>
      <w:r w:rsidR="00A0678D">
        <w:t>[9</w:t>
      </w:r>
      <w:r w:rsidR="008E2AA8">
        <w:t xml:space="preserve">] </w:t>
      </w:r>
      <w:r w:rsidR="007D6325">
        <w:t xml:space="preserve">demonstrates the important side-effects of the beam-beam interactions in one of the </w:t>
      </w:r>
      <w:proofErr w:type="spellStart"/>
      <w:r w:rsidR="007D6325">
        <w:t>Tevatron</w:t>
      </w:r>
      <w:proofErr w:type="spellEnd"/>
      <w:r w:rsidR="007D6325">
        <w:t xml:space="preserve"> stores (store 5155)</w:t>
      </w:r>
      <w:r w:rsidR="008968B5">
        <w:t xml:space="preserve">. While the antiproton losses are consistent with the luminous proton burning, the </w:t>
      </w:r>
      <w:r w:rsidR="008E2AA8">
        <w:t>loss rate of the proton is much higher, showing an example of side effects of the beam-beam interaction.</w:t>
      </w:r>
    </w:p>
    <w:p w:rsidR="008968B5" w:rsidRDefault="00115491" w:rsidP="008968B5">
      <w:pPr>
        <w:pStyle w:val="Heading2"/>
      </w:pPr>
      <w:r>
        <w:rPr>
          <w:noProof/>
          <w:lang w:val="en-US"/>
        </w:rPr>
        <w:drawing>
          <wp:anchor distT="0" distB="0" distL="114300" distR="114300" simplePos="0" relativeHeight="251664384" behindDoc="0" locked="0" layoutInCell="1" allowOverlap="1">
            <wp:simplePos x="0" y="0"/>
            <wp:positionH relativeFrom="column">
              <wp:posOffset>3563620</wp:posOffset>
            </wp:positionH>
            <wp:positionV relativeFrom="paragraph">
              <wp:posOffset>742950</wp:posOffset>
            </wp:positionV>
            <wp:extent cx="2157730" cy="1166495"/>
            <wp:effectExtent l="19050" t="0" r="0" b="0"/>
            <wp:wrapTopAndBottom/>
            <wp:docPr id="11" name="Picture 10"/>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18" cstate="print"/>
                    <a:srcRect/>
                    <a:stretch>
                      <a:fillRect/>
                    </a:stretch>
                  </pic:blipFill>
                  <pic:spPr bwMode="auto">
                    <a:xfrm>
                      <a:off x="0" y="0"/>
                      <a:ext cx="2157730" cy="1166495"/>
                    </a:xfrm>
                    <a:prstGeom prst="rect">
                      <a:avLst/>
                    </a:prstGeom>
                    <a:noFill/>
                    <a:ln w="9525">
                      <a:noFill/>
                      <a:miter lim="800000"/>
                      <a:headEnd/>
                      <a:tailEnd/>
                    </a:ln>
                    <a:effectLst/>
                  </pic:spPr>
                </pic:pic>
              </a:graphicData>
            </a:graphic>
          </wp:anchor>
        </w:drawing>
      </w:r>
      <w:r w:rsidR="000944D7" w:rsidRPr="000944D7">
        <w:rPr>
          <w:noProof/>
          <w:lang w:val="en-US"/>
        </w:rPr>
        <w:drawing>
          <wp:inline distT="0" distB="0" distL="0" distR="0">
            <wp:extent cx="1482204" cy="1091821"/>
            <wp:effectExtent l="19050" t="0" r="3696" b="0"/>
            <wp:docPr id="7" name="Picture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cstate="print"/>
                    <a:srcRect/>
                    <a:stretch>
                      <a:fillRect/>
                    </a:stretch>
                  </pic:blipFill>
                  <pic:spPr bwMode="auto">
                    <a:xfrm>
                      <a:off x="0" y="0"/>
                      <a:ext cx="1483198" cy="1092553"/>
                    </a:xfrm>
                    <a:prstGeom prst="rect">
                      <a:avLst/>
                    </a:prstGeom>
                    <a:noFill/>
                    <a:ln w="9525">
                      <a:noFill/>
                      <a:miter lim="800000"/>
                      <a:headEnd/>
                      <a:tailEnd/>
                    </a:ln>
                  </pic:spPr>
                </pic:pic>
              </a:graphicData>
            </a:graphic>
          </wp:inline>
        </w:drawing>
      </w:r>
      <w:r w:rsidR="000944D7" w:rsidRPr="000944D7">
        <w:rPr>
          <w:noProof/>
          <w:lang w:val="en-US"/>
        </w:rPr>
        <w:drawing>
          <wp:inline distT="0" distB="0" distL="0" distR="0">
            <wp:extent cx="1433489" cy="1098437"/>
            <wp:effectExtent l="19050" t="0" r="0" b="0"/>
            <wp:docPr id="9" name="Picture 6"/>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0" cstate="print"/>
                    <a:srcRect/>
                    <a:stretch>
                      <a:fillRect/>
                    </a:stretch>
                  </pic:blipFill>
                  <pic:spPr bwMode="auto">
                    <a:xfrm>
                      <a:off x="0" y="0"/>
                      <a:ext cx="1434968" cy="1099570"/>
                    </a:xfrm>
                    <a:prstGeom prst="rect">
                      <a:avLst/>
                    </a:prstGeom>
                    <a:noFill/>
                    <a:ln w="9525">
                      <a:noFill/>
                      <a:miter lim="800000"/>
                      <a:headEnd/>
                      <a:tailEnd/>
                    </a:ln>
                  </pic:spPr>
                </pic:pic>
              </a:graphicData>
            </a:graphic>
          </wp:inline>
        </w:drawing>
      </w:r>
    </w:p>
    <w:p w:rsidR="008968B5" w:rsidRPr="00BC249C" w:rsidRDefault="008968B5" w:rsidP="008968B5">
      <w:pPr>
        <w:pStyle w:val="Caption"/>
        <w:jc w:val="center"/>
        <w:rPr>
          <w:rFonts w:ascii="Times New Roman" w:hAnsi="Times New Roman"/>
          <w:b w:val="0"/>
          <w:i/>
        </w:rPr>
      </w:pPr>
      <w:r w:rsidRPr="00BC249C">
        <w:rPr>
          <w:rFonts w:ascii="Times New Roman" w:hAnsi="Times New Roman"/>
          <w:b w:val="0"/>
          <w:i/>
        </w:rPr>
        <w:t xml:space="preserve">Figure </w:t>
      </w:r>
      <w:r w:rsidR="00A0678D" w:rsidRPr="00BC249C">
        <w:rPr>
          <w:rFonts w:ascii="Times New Roman" w:hAnsi="Times New Roman"/>
          <w:b w:val="0"/>
          <w:i/>
        </w:rPr>
        <w:t>3</w:t>
      </w:r>
      <w:r w:rsidR="00BC249C">
        <w:rPr>
          <w:rFonts w:ascii="Times New Roman" w:hAnsi="Times New Roman"/>
          <w:b w:val="0"/>
          <w:i/>
        </w:rPr>
        <w:t>: example of beam loss rate</w:t>
      </w:r>
      <w:r w:rsidRPr="00BC249C">
        <w:rPr>
          <w:rFonts w:ascii="Times New Roman" w:hAnsi="Times New Roman"/>
          <w:b w:val="0"/>
          <w:i/>
        </w:rPr>
        <w:t xml:space="preserve"> in collision, from [</w:t>
      </w:r>
      <w:r w:rsidR="00A0678D" w:rsidRPr="00BC249C">
        <w:rPr>
          <w:rFonts w:ascii="Times New Roman" w:hAnsi="Times New Roman"/>
          <w:b w:val="0"/>
          <w:i/>
        </w:rPr>
        <w:t>9</w:t>
      </w:r>
      <w:r w:rsidRPr="00BC249C">
        <w:rPr>
          <w:rFonts w:ascii="Times New Roman" w:hAnsi="Times New Roman"/>
          <w:b w:val="0"/>
          <w:i/>
        </w:rPr>
        <w:t>]</w:t>
      </w:r>
    </w:p>
    <w:p w:rsidR="00F40C45" w:rsidRPr="00F40C45" w:rsidRDefault="00F40C45" w:rsidP="00F40C45"/>
    <w:p w:rsidR="00F40C45" w:rsidRDefault="00F40C45" w:rsidP="000F0D20">
      <w:pPr>
        <w:keepNext/>
        <w:jc w:val="center"/>
      </w:pPr>
      <w:r w:rsidRPr="00F40C45">
        <w:rPr>
          <w:noProof/>
          <w:lang w:val="en-US"/>
        </w:rPr>
        <w:drawing>
          <wp:inline distT="0" distB="0" distL="0" distR="0">
            <wp:extent cx="2724150" cy="1685498"/>
            <wp:effectExtent l="19050" t="0" r="0" b="0"/>
            <wp:docPr id="10" name="Picture 9"/>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21" cstate="print"/>
                    <a:srcRect/>
                    <a:stretch>
                      <a:fillRect/>
                    </a:stretch>
                  </pic:blipFill>
                  <pic:spPr bwMode="auto">
                    <a:xfrm>
                      <a:off x="0" y="0"/>
                      <a:ext cx="2726527" cy="1686968"/>
                    </a:xfrm>
                    <a:prstGeom prst="rect">
                      <a:avLst/>
                    </a:prstGeom>
                    <a:noFill/>
                    <a:ln w="9525">
                      <a:noFill/>
                      <a:miter lim="800000"/>
                      <a:headEnd/>
                      <a:tailEnd/>
                    </a:ln>
                    <a:effectLst/>
                  </pic:spPr>
                </pic:pic>
              </a:graphicData>
            </a:graphic>
          </wp:inline>
        </w:drawing>
      </w:r>
    </w:p>
    <w:p w:rsidR="008E2AA8" w:rsidRPr="00BC249C" w:rsidRDefault="00F40C45" w:rsidP="00F40C45">
      <w:pPr>
        <w:pStyle w:val="Caption"/>
        <w:rPr>
          <w:rFonts w:ascii="Times New Roman" w:hAnsi="Times New Roman"/>
          <w:b w:val="0"/>
          <w:i/>
        </w:rPr>
      </w:pPr>
      <w:r w:rsidRPr="00BC249C">
        <w:rPr>
          <w:rFonts w:ascii="Times New Roman" w:hAnsi="Times New Roman"/>
          <w:b w:val="0"/>
          <w:i/>
        </w:rPr>
        <w:t xml:space="preserve">Figure </w:t>
      </w:r>
      <w:r w:rsidR="009615B5" w:rsidRPr="00BC249C">
        <w:rPr>
          <w:rFonts w:ascii="Times New Roman" w:hAnsi="Times New Roman"/>
          <w:b w:val="0"/>
          <w:i/>
        </w:rPr>
        <w:t>4</w:t>
      </w:r>
      <w:r w:rsidRPr="00BC249C">
        <w:rPr>
          <w:rFonts w:ascii="Times New Roman" w:hAnsi="Times New Roman"/>
          <w:b w:val="0"/>
          <w:i/>
        </w:rPr>
        <w:t xml:space="preserve">: Diffusion versus </w:t>
      </w:r>
      <w:r w:rsidR="009615B5" w:rsidRPr="00BC249C">
        <w:rPr>
          <w:rFonts w:ascii="Times New Roman" w:hAnsi="Times New Roman"/>
          <w:b w:val="0"/>
          <w:i/>
        </w:rPr>
        <w:t>amplitude in the nominal LHC [10</w:t>
      </w:r>
      <w:r w:rsidRPr="00BC249C">
        <w:rPr>
          <w:rFonts w:ascii="Times New Roman" w:hAnsi="Times New Roman"/>
          <w:b w:val="0"/>
          <w:i/>
        </w:rPr>
        <w:t>]</w:t>
      </w:r>
    </w:p>
    <w:p w:rsidR="00F40C45" w:rsidRDefault="009615B5" w:rsidP="00F40C45">
      <w:r>
        <w:t>Figure 4 from [10</w:t>
      </w:r>
      <w:r w:rsidR="00F40C45">
        <w:t xml:space="preserve">] </w:t>
      </w:r>
      <w:r w:rsidR="007D6325">
        <w:t>demonstrates the overwhelming effect of the long-range beam-beam interactions at the LHC.</w:t>
      </w:r>
      <w:r w:rsidR="006117AA">
        <w:t xml:space="preserve"> T</w:t>
      </w:r>
      <w:r w:rsidR="00F40C45">
        <w:t>he h</w:t>
      </w:r>
      <w:r w:rsidR="003565F6">
        <w:t>ead-on beam-beam effect alone would be</w:t>
      </w:r>
      <w:r w:rsidR="00F40C45">
        <w:t xml:space="preserve"> stable at the LHC. However, when the long-range beam-beam effect is added, a strong diffusion occurs for particle amplitudes above 5.5</w:t>
      </w:r>
      <w:r w:rsidR="003565F6">
        <w:sym w:font="Symbol" w:char="F073"/>
      </w:r>
      <w:r w:rsidR="003565F6">
        <w:t>.</w:t>
      </w:r>
    </w:p>
    <w:p w:rsidR="003565F6" w:rsidRDefault="00FC41A9" w:rsidP="00F40C45">
      <w:r>
        <w:t>Figure 5 [11</w:t>
      </w:r>
      <w:r w:rsidR="003565F6">
        <w:t>]</w:t>
      </w:r>
      <w:proofErr w:type="gramStart"/>
      <w:r w:rsidR="00D06078">
        <w:t>,[</w:t>
      </w:r>
      <w:proofErr w:type="gramEnd"/>
      <w:r w:rsidR="00D06078">
        <w:t>4]</w:t>
      </w:r>
      <w:r w:rsidR="003565F6">
        <w:t xml:space="preserve"> </w:t>
      </w:r>
      <w:r w:rsidR="006D2E65">
        <w:t xml:space="preserve">further shows that the optimal tunes are different for the head-on and long-range beam-beam effects. It stems from recent </w:t>
      </w:r>
      <w:r w:rsidR="003565F6">
        <w:t>SPS experiment</w:t>
      </w:r>
      <w:r w:rsidR="006D2E65">
        <w:t>s</w:t>
      </w:r>
      <w:r w:rsidR="003565F6">
        <w:t xml:space="preserve">. The LHC long-range beam-beam effect is simulated by powering a current-carrying wire at a suitable distance from the beam. </w:t>
      </w:r>
      <w:r w:rsidR="00544B1C">
        <w:t>The tune dependence of the beam loss shows that the optimal tune for minimizing the long-range beam-beam effect (0.285) is significantly different from the optimal tune for head-on collisions (0.32). A means to compensate one of the two effects would alleviate this potential difficulty.</w:t>
      </w:r>
    </w:p>
    <w:p w:rsidR="006D2E65" w:rsidRDefault="006D2E65" w:rsidP="006D2E65">
      <w:pPr>
        <w:keepNext/>
      </w:pPr>
      <w:r w:rsidRPr="006D2E65">
        <w:rPr>
          <w:noProof/>
          <w:lang w:val="en-US"/>
        </w:rPr>
        <w:drawing>
          <wp:inline distT="0" distB="0" distL="0" distR="0">
            <wp:extent cx="2960920" cy="1849642"/>
            <wp:effectExtent l="19050" t="0" r="0" b="0"/>
            <wp:docPr id="5" name="Picture 4" descr="\\cern.ch\dfs\Users\j\jpk\Desktop\MyDocs\Text\Presentations\2010\VerticalTune.jpg"/>
            <wp:cNvGraphicFramePr/>
            <a:graphic xmlns:a="http://schemas.openxmlformats.org/drawingml/2006/main">
              <a:graphicData uri="http://schemas.openxmlformats.org/drawingml/2006/picture">
                <pic:pic xmlns:pic="http://schemas.openxmlformats.org/drawingml/2006/picture">
                  <pic:nvPicPr>
                    <pic:cNvPr id="12" name="Picture 3" descr="\\cern.ch\dfs\Users\j\jpk\Desktop\MyDocs\Text\Presentations\2010\VerticalTune.jpg"/>
                    <pic:cNvPicPr>
                      <a:picLocks noChangeAspect="1" noChangeArrowheads="1"/>
                    </pic:cNvPicPr>
                  </pic:nvPicPr>
                  <pic:blipFill>
                    <a:blip r:embed="rId22" cstate="print"/>
                    <a:srcRect t="8746" b="2915"/>
                    <a:stretch>
                      <a:fillRect/>
                    </a:stretch>
                  </pic:blipFill>
                  <pic:spPr bwMode="auto">
                    <a:xfrm>
                      <a:off x="0" y="0"/>
                      <a:ext cx="2960920" cy="1849642"/>
                    </a:xfrm>
                    <a:prstGeom prst="rect">
                      <a:avLst/>
                    </a:prstGeom>
                    <a:noFill/>
                  </pic:spPr>
                </pic:pic>
              </a:graphicData>
            </a:graphic>
          </wp:inline>
        </w:drawing>
      </w:r>
    </w:p>
    <w:p w:rsidR="006D2E65" w:rsidRPr="00BC249C" w:rsidRDefault="006D2E65" w:rsidP="006D2E65">
      <w:pPr>
        <w:pStyle w:val="Caption"/>
        <w:rPr>
          <w:rFonts w:ascii="Times New Roman" w:hAnsi="Times New Roman"/>
          <w:b w:val="0"/>
          <w:i/>
        </w:rPr>
      </w:pPr>
      <w:r w:rsidRPr="00BC249C">
        <w:rPr>
          <w:rFonts w:ascii="Times New Roman" w:hAnsi="Times New Roman"/>
          <w:b w:val="0"/>
          <w:i/>
        </w:rPr>
        <w:t xml:space="preserve">Figure </w:t>
      </w:r>
      <w:r w:rsidR="006819CA" w:rsidRPr="00BC249C">
        <w:rPr>
          <w:rFonts w:ascii="Times New Roman" w:hAnsi="Times New Roman"/>
          <w:b w:val="0"/>
          <w:i/>
        </w:rPr>
        <w:t>5</w:t>
      </w:r>
      <w:r w:rsidRPr="00BC249C">
        <w:rPr>
          <w:rFonts w:ascii="Times New Roman" w:hAnsi="Times New Roman"/>
          <w:b w:val="0"/>
          <w:i/>
        </w:rPr>
        <w:t>:</w:t>
      </w:r>
      <w:r w:rsidR="0062318D" w:rsidRPr="00BC249C">
        <w:rPr>
          <w:rFonts w:ascii="Times New Roman" w:hAnsi="Times New Roman"/>
          <w:b w:val="0"/>
          <w:i/>
        </w:rPr>
        <w:t xml:space="preserve"> Tune dependence of the LHC long-range beam-beam effect simulated in the SPS [11]</w:t>
      </w:r>
      <w:r w:rsidR="00D06078" w:rsidRPr="00BC249C">
        <w:rPr>
          <w:rFonts w:ascii="Times New Roman" w:hAnsi="Times New Roman"/>
          <w:b w:val="0"/>
          <w:i/>
        </w:rPr>
        <w:t>, [4].</w:t>
      </w:r>
    </w:p>
    <w:p w:rsidR="00225E81" w:rsidRDefault="00225E81" w:rsidP="00225E81">
      <w:pPr>
        <w:pStyle w:val="Heading3"/>
      </w:pPr>
      <w:r>
        <w:t>Long-range beam-beam compensation</w:t>
      </w:r>
    </w:p>
    <w:p w:rsidR="0029712A" w:rsidRDefault="00A97AC9" w:rsidP="0029712A">
      <w:r>
        <w:t xml:space="preserve">A </w:t>
      </w:r>
      <w:r w:rsidR="00483FB3">
        <w:t xml:space="preserve">long-range beam-beam </w:t>
      </w:r>
      <w:r>
        <w:t xml:space="preserve">compensation scheme using wires inside the vacuum chamber </w:t>
      </w:r>
      <w:r w:rsidR="00115491">
        <w:t>was proposed in 2000 [5</w:t>
      </w:r>
      <w:r>
        <w:t xml:space="preserve">]. </w:t>
      </w:r>
      <w:r w:rsidR="0029712A">
        <w:t xml:space="preserve">Figure 6 from [5] shows the layout of compensators, </w:t>
      </w:r>
    </w:p>
    <w:p w:rsidR="0029712A" w:rsidRPr="00BC249C" w:rsidRDefault="0029712A" w:rsidP="0029712A">
      <w:pPr>
        <w:pStyle w:val="Caption"/>
        <w:rPr>
          <w:rFonts w:ascii="Times New Roman" w:hAnsi="Times New Roman"/>
          <w:b w:val="0"/>
          <w:i/>
        </w:rPr>
      </w:pPr>
      <w:r w:rsidRPr="00BC249C">
        <w:rPr>
          <w:rFonts w:ascii="Times New Roman" w:hAnsi="Times New Roman"/>
          <w:b w:val="0"/>
          <w:i/>
        </w:rPr>
        <w:t>Figure 6: long-range beam-beam compensator layout [5]</w:t>
      </w:r>
    </w:p>
    <w:p w:rsidR="0029712A" w:rsidRDefault="0029712A" w:rsidP="0029712A">
      <w:proofErr w:type="gramStart"/>
      <w:r>
        <w:t>placed</w:t>
      </w:r>
      <w:proofErr w:type="gramEnd"/>
      <w:r>
        <w:t xml:space="preserve"> on either side of an interaction point, between the D1 and D2 magnets at the position where the beta functions are equal in both planes. At this position, the </w:t>
      </w:r>
      <w:proofErr w:type="spellStart"/>
      <w:r>
        <w:t>betatron</w:t>
      </w:r>
      <w:proofErr w:type="spellEnd"/>
      <w:r>
        <w:t xml:space="preserve"> phase shift between perturbation and compensation is only about 2 degrees. The beams are sufficiently separated to allow moving devices between them. The corresponding space has already been reserved for the nominal LHC optics.</w:t>
      </w:r>
    </w:p>
    <w:p w:rsidR="00166982" w:rsidRDefault="0029712A" w:rsidP="0029712A">
      <w:pPr>
        <w:pStyle w:val="BodyTextIndent"/>
      </w:pPr>
      <w:r>
        <w:t>The efficiency and robustness of the compensation</w:t>
      </w:r>
      <w:r w:rsidR="003B1DA2">
        <w:t xml:space="preserve"> have</w:t>
      </w:r>
      <w:r w:rsidR="00A97AC9">
        <w:t xml:space="preserve"> been studied in detail by several authors</w:t>
      </w:r>
      <w:r w:rsidR="003B1DA2">
        <w:t xml:space="preserve"> in numerical simulation</w:t>
      </w:r>
      <w:r w:rsidR="00007B29">
        <w:t>s</w:t>
      </w:r>
      <w:r w:rsidR="00EA79F3">
        <w:t>, e.g. [5], [10]</w:t>
      </w:r>
      <w:proofErr w:type="gramStart"/>
      <w:r w:rsidR="00EA79F3">
        <w:t>,</w:t>
      </w:r>
      <w:r w:rsidR="006819CA">
        <w:t>[</w:t>
      </w:r>
      <w:proofErr w:type="gramEnd"/>
      <w:r w:rsidR="006819CA">
        <w:t>12],[13],[14]</w:t>
      </w:r>
      <w:r w:rsidR="00A97AC9">
        <w:t xml:space="preserve">. A SPS experimental set-up </w:t>
      </w:r>
      <w:r w:rsidR="00007B29">
        <w:t>was built to</w:t>
      </w:r>
      <w:r w:rsidR="00A97AC9">
        <w:t xml:space="preserve"> </w:t>
      </w:r>
      <w:r w:rsidR="00007B29">
        <w:t>simulate</w:t>
      </w:r>
      <w:r w:rsidR="00A97AC9">
        <w:t xml:space="preserve"> the LHC long-range beam-beam effect</w:t>
      </w:r>
      <w:r w:rsidR="003B1DA2">
        <w:t xml:space="preserve"> and its compensation with appropriate </w:t>
      </w:r>
      <w:proofErr w:type="spellStart"/>
      <w:r w:rsidR="00007B29">
        <w:t>betatron</w:t>
      </w:r>
      <w:proofErr w:type="spellEnd"/>
      <w:r w:rsidR="00007B29">
        <w:t xml:space="preserve"> </w:t>
      </w:r>
      <w:r w:rsidR="003B1DA2">
        <w:t xml:space="preserve">phase shift between </w:t>
      </w:r>
      <w:r w:rsidR="00115491">
        <w:t>perturbation</w:t>
      </w:r>
      <w:r w:rsidR="003B1DA2">
        <w:t xml:space="preserve"> and compensation. All results </w:t>
      </w:r>
      <w:r w:rsidR="00007B29">
        <w:t xml:space="preserve">obtained </w:t>
      </w:r>
      <w:r>
        <w:t xml:space="preserve">from numerical and experimental simulations </w:t>
      </w:r>
      <w:r w:rsidR="003B1DA2">
        <w:t xml:space="preserve">are consistent and show significant efficiency and robustness for a dc system whose strength can be mitigated to compensate regular and </w:t>
      </w:r>
      <w:proofErr w:type="spellStart"/>
      <w:r w:rsidR="003B1DA2">
        <w:t>pacman</w:t>
      </w:r>
      <w:proofErr w:type="spellEnd"/>
      <w:r w:rsidR="003B1DA2">
        <w:t xml:space="preserve"> bunches</w:t>
      </w:r>
      <w:r w:rsidR="006819CA">
        <w:t xml:space="preserve"> [12]</w:t>
      </w:r>
      <w:r w:rsidR="003B1DA2">
        <w:t xml:space="preserve">. </w:t>
      </w:r>
      <w:r>
        <w:t xml:space="preserve"> An example from numerical simulations [15] is given on Figure 7. Another example from recent SPS experiments [11]</w:t>
      </w:r>
      <w:proofErr w:type="gramStart"/>
      <w:r>
        <w:t>,[</w:t>
      </w:r>
      <w:proofErr w:type="gramEnd"/>
      <w:r>
        <w:t xml:space="preserve">4] is given on Figure 8. In both cases, the significant perturbation produced by </w:t>
      </w:r>
    </w:p>
    <w:p w:rsidR="0041646F" w:rsidRPr="006B619E" w:rsidRDefault="006B619E" w:rsidP="0041646F">
      <w:pPr>
        <w:pStyle w:val="Caption"/>
        <w:rPr>
          <w:rFonts w:ascii="Times New Roman" w:hAnsi="Times New Roman"/>
          <w:b w:val="0"/>
          <w:i/>
        </w:rPr>
      </w:pPr>
      <w:r w:rsidRPr="006B619E">
        <w:rPr>
          <w:rFonts w:ascii="Times New Roman" w:hAnsi="Times New Roman"/>
          <w:b w:val="0"/>
          <w:i/>
          <w:noProof/>
          <w:lang w:val="en-US"/>
        </w:rPr>
        <w:drawing>
          <wp:anchor distT="0" distB="0" distL="114300" distR="114300" simplePos="0" relativeHeight="251665408" behindDoc="0" locked="0" layoutInCell="1" allowOverlap="1">
            <wp:simplePos x="0" y="0"/>
            <wp:positionH relativeFrom="column">
              <wp:posOffset>70059</wp:posOffset>
            </wp:positionH>
            <wp:positionV relativeFrom="paragraph">
              <wp:posOffset>-42517</wp:posOffset>
            </wp:positionV>
            <wp:extent cx="2695423" cy="1951630"/>
            <wp:effectExtent l="19050" t="0" r="0" b="0"/>
            <wp:wrapTopAndBottom/>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b="6630"/>
                    <a:stretch>
                      <a:fillRect/>
                    </a:stretch>
                  </pic:blipFill>
                  <pic:spPr bwMode="auto">
                    <a:xfrm>
                      <a:off x="0" y="0"/>
                      <a:ext cx="2695423" cy="1951630"/>
                    </a:xfrm>
                    <a:prstGeom prst="rect">
                      <a:avLst/>
                    </a:prstGeom>
                    <a:noFill/>
                    <a:ln w="9525">
                      <a:miter lim="800000"/>
                      <a:headEnd/>
                      <a:tailEnd/>
                    </a:ln>
                    <a:effectLst/>
                  </pic:spPr>
                </pic:pic>
              </a:graphicData>
            </a:graphic>
          </wp:anchor>
        </w:drawing>
      </w:r>
      <w:r w:rsidR="0041646F" w:rsidRPr="006B619E">
        <w:rPr>
          <w:rFonts w:ascii="Times New Roman" w:hAnsi="Times New Roman"/>
          <w:b w:val="0"/>
          <w:i/>
        </w:rPr>
        <w:t xml:space="preserve">Figure 7: Recovery of the </w:t>
      </w:r>
      <w:proofErr w:type="spellStart"/>
      <w:r w:rsidR="0041646F" w:rsidRPr="006B619E">
        <w:rPr>
          <w:rFonts w:ascii="Times New Roman" w:hAnsi="Times New Roman"/>
          <w:b w:val="0"/>
          <w:i/>
        </w:rPr>
        <w:t>emittance</w:t>
      </w:r>
      <w:proofErr w:type="spellEnd"/>
      <w:r w:rsidR="0041646F" w:rsidRPr="006B619E">
        <w:rPr>
          <w:rFonts w:ascii="Times New Roman" w:hAnsi="Times New Roman"/>
          <w:b w:val="0"/>
          <w:i/>
        </w:rPr>
        <w:t xml:space="preserve"> blow-up by long-range beam-beam compensation, from [15]</w:t>
      </w:r>
      <w:r w:rsidR="0041646F" w:rsidRPr="006B619E">
        <w:rPr>
          <w:b w:val="0"/>
          <w:i/>
        </w:rPr>
        <w:t>.</w:t>
      </w:r>
    </w:p>
    <w:p w:rsidR="00A97AC9" w:rsidRDefault="0041646F" w:rsidP="0041646F">
      <w:pPr>
        <w:pStyle w:val="BodyTextIndent"/>
        <w:ind w:firstLine="0"/>
      </w:pPr>
      <w:proofErr w:type="gramStart"/>
      <w:r>
        <w:t>t</w:t>
      </w:r>
      <w:r w:rsidR="0029712A">
        <w:t>he</w:t>
      </w:r>
      <w:proofErr w:type="gramEnd"/>
      <w:r w:rsidR="0029712A">
        <w:t xml:space="preserve"> long-range beam-beam encounters is fully suppressed by the compensation. </w:t>
      </w:r>
      <w:r w:rsidR="009A6B95">
        <w:t>The technology for a pulsed system has not been established yet.</w:t>
      </w:r>
    </w:p>
    <w:p w:rsidR="005B3B1E" w:rsidRPr="006B619E" w:rsidRDefault="006B619E" w:rsidP="006B619E">
      <w:pPr>
        <w:pStyle w:val="Caption"/>
        <w:rPr>
          <w:b w:val="0"/>
          <w:i/>
        </w:rPr>
      </w:pPr>
      <w:r w:rsidRPr="006B619E">
        <w:rPr>
          <w:b w:val="0"/>
          <w:i/>
          <w:noProof/>
          <w:lang w:val="en-US"/>
        </w:rPr>
        <w:drawing>
          <wp:anchor distT="0" distB="0" distL="114300" distR="114300" simplePos="0" relativeHeight="251667456" behindDoc="0" locked="0" layoutInCell="1" allowOverlap="1">
            <wp:simplePos x="0" y="0"/>
            <wp:positionH relativeFrom="column">
              <wp:posOffset>-39124</wp:posOffset>
            </wp:positionH>
            <wp:positionV relativeFrom="paragraph">
              <wp:posOffset>72362</wp:posOffset>
            </wp:positionV>
            <wp:extent cx="2960920" cy="1781032"/>
            <wp:effectExtent l="19050" t="0" r="0" b="0"/>
            <wp:wrapTopAndBottom/>
            <wp:docPr id="13" name="Picture 1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24" cstate="print"/>
                    <a:srcRect/>
                    <a:stretch>
                      <a:fillRect/>
                    </a:stretch>
                  </pic:blipFill>
                  <pic:spPr bwMode="auto">
                    <a:xfrm>
                      <a:off x="0" y="0"/>
                      <a:ext cx="2960920" cy="1781032"/>
                    </a:xfrm>
                    <a:prstGeom prst="rect">
                      <a:avLst/>
                    </a:prstGeom>
                    <a:noFill/>
                    <a:ln w="9525">
                      <a:miter lim="800000"/>
                      <a:headEnd/>
                      <a:tailEnd/>
                    </a:ln>
                    <a:effectLst/>
                  </pic:spPr>
                </pic:pic>
              </a:graphicData>
            </a:graphic>
          </wp:anchor>
        </w:drawing>
      </w:r>
      <w:r w:rsidR="00AC50C3" w:rsidRPr="006B619E">
        <w:rPr>
          <w:b w:val="0"/>
          <w:i/>
        </w:rPr>
        <w:t xml:space="preserve">Figure 8: SPS beam intensity (upper curve) and lifetime (lower curve) </w:t>
      </w:r>
      <w:proofErr w:type="spellStart"/>
      <w:r w:rsidR="00AC50C3" w:rsidRPr="006B619E">
        <w:rPr>
          <w:b w:val="0"/>
          <w:i/>
        </w:rPr>
        <w:t>vs</w:t>
      </w:r>
      <w:proofErr w:type="spellEnd"/>
      <w:r w:rsidR="00AC50C3" w:rsidRPr="006B619E">
        <w:rPr>
          <w:b w:val="0"/>
          <w:i/>
        </w:rPr>
        <w:t xml:space="preserve"> time</w:t>
      </w:r>
      <w:r w:rsidR="00E4749C">
        <w:rPr>
          <w:b w:val="0"/>
          <w:i/>
        </w:rPr>
        <w:t xml:space="preserve"> [11]</w:t>
      </w:r>
      <w:proofErr w:type="gramStart"/>
      <w:r w:rsidR="00E4749C">
        <w:rPr>
          <w:b w:val="0"/>
          <w:i/>
        </w:rPr>
        <w:t>,[</w:t>
      </w:r>
      <w:proofErr w:type="gramEnd"/>
      <w:r w:rsidR="00E4749C">
        <w:rPr>
          <w:b w:val="0"/>
          <w:i/>
        </w:rPr>
        <w:t>4]</w:t>
      </w:r>
      <w:r w:rsidR="00AC50C3" w:rsidRPr="006B619E">
        <w:rPr>
          <w:b w:val="0"/>
          <w:i/>
        </w:rPr>
        <w:t xml:space="preserve">. I1 is the long-range simulator while I2 is the </w:t>
      </w:r>
      <w:r w:rsidR="00E4749C" w:rsidRPr="006B619E">
        <w:rPr>
          <w:b w:val="0"/>
          <w:i/>
        </w:rPr>
        <w:t xml:space="preserve">compensator. </w:t>
      </w:r>
      <w:r w:rsidR="00AC50C3" w:rsidRPr="006B619E">
        <w:rPr>
          <w:b w:val="0"/>
          <w:i/>
        </w:rPr>
        <w:t>When the wire simulating the long-range beam-beam interactions is activated (I1=250A), a clear decay of the SPS beam current is observed. When either this excitation is suppressed, or compensated by the second wire, the beam current decay is suppressed.</w:t>
      </w:r>
    </w:p>
    <w:p w:rsidR="00680678" w:rsidRDefault="008E027F" w:rsidP="008E027F">
      <w:pPr>
        <w:pStyle w:val="Heading3"/>
      </w:pPr>
      <w:r>
        <w:t>Other possible approaches</w:t>
      </w:r>
    </w:p>
    <w:p w:rsidR="008E027F" w:rsidRDefault="008E027F" w:rsidP="008E027F">
      <w:pPr>
        <w:pStyle w:val="BodyTextIndent"/>
      </w:pPr>
      <w:r>
        <w:t xml:space="preserve">This short communication only allows mentioning two other complementary approaches that </w:t>
      </w:r>
      <w:r w:rsidR="009F4E95">
        <w:t>may have a high potential in</w:t>
      </w:r>
      <w:r>
        <w:t xml:space="preserve"> the LHC and deserve detailed evaluation:</w:t>
      </w:r>
    </w:p>
    <w:p w:rsidR="008E027F" w:rsidRDefault="009F4E95" w:rsidP="008E027F">
      <w:pPr>
        <w:pStyle w:val="BodyTextIndent"/>
        <w:numPr>
          <w:ilvl w:val="0"/>
          <w:numId w:val="17"/>
        </w:numPr>
      </w:pPr>
      <w:r>
        <w:t>The electron lens</w:t>
      </w:r>
      <w:r w:rsidR="00032D0E">
        <w:t>, e.g. [16]</w:t>
      </w:r>
      <w:r>
        <w:t xml:space="preserve"> could ideally cancel the head-on beam-beam effect and in practice</w:t>
      </w:r>
      <w:r w:rsidR="00893A6E">
        <w:t xml:space="preserve"> reduce the detuning and/or resonance excitation. It may as well be used as a long-range compensators for the early separation scheme where a few encounters occur at a beam separation of 5</w:t>
      </w:r>
      <w:r w:rsidR="00893A6E">
        <w:sym w:font="Symbol" w:char="F073"/>
      </w:r>
      <w:r w:rsidR="00893A6E">
        <w:t>, i.e. too close to the beam for wire compensators.</w:t>
      </w:r>
    </w:p>
    <w:p w:rsidR="00893A6E" w:rsidRPr="008E027F" w:rsidRDefault="00032D0E" w:rsidP="008E027F">
      <w:pPr>
        <w:pStyle w:val="BodyTextIndent"/>
        <w:numPr>
          <w:ilvl w:val="0"/>
          <w:numId w:val="17"/>
        </w:numPr>
      </w:pPr>
      <w:r>
        <w:t>The crab waist s</w:t>
      </w:r>
      <w:r w:rsidR="00893A6E">
        <w:t>cheme</w:t>
      </w:r>
      <w:r w:rsidR="0014310D">
        <w:t xml:space="preserve"> [</w:t>
      </w:r>
      <w:r>
        <w:t>17</w:t>
      </w:r>
      <w:r w:rsidR="0014310D">
        <w:t>]. This ingenious scheme</w:t>
      </w:r>
      <w:r>
        <w:t>, by suppressing</w:t>
      </w:r>
      <w:r w:rsidR="0014310D">
        <w:t xml:space="preserve"> </w:t>
      </w:r>
      <w:r>
        <w:t xml:space="preserve">a class of </w:t>
      </w:r>
      <w:r w:rsidR="0014310D">
        <w:t>focusing aberrations</w:t>
      </w:r>
      <w:r>
        <w:t>, allows high</w:t>
      </w:r>
      <w:r w:rsidR="00D031A4">
        <w:t>er</w:t>
      </w:r>
      <w:r>
        <w:t xml:space="preserve"> luminosity</w:t>
      </w:r>
      <w:r w:rsidR="0014310D">
        <w:t xml:space="preserve"> and was demonstrated in </w:t>
      </w:r>
      <w:proofErr w:type="spellStart"/>
      <w:r w:rsidR="0014310D">
        <w:t>Dafne</w:t>
      </w:r>
      <w:proofErr w:type="spellEnd"/>
      <w:r w:rsidR="0014310D">
        <w:t>. A collaborative CERN</w:t>
      </w:r>
      <w:r w:rsidR="00D031A4">
        <w:t>-</w:t>
      </w:r>
      <w:r w:rsidR="0014310D">
        <w:t xml:space="preserve">INFN study is </w:t>
      </w:r>
      <w:r w:rsidR="00D031A4">
        <w:t>s</w:t>
      </w:r>
      <w:r w:rsidR="0014310D">
        <w:t>cheduled within the FP7-EuCARD project.</w:t>
      </w:r>
    </w:p>
    <w:p w:rsidR="00356F52" w:rsidRDefault="00356F52" w:rsidP="00356F52">
      <w:pPr>
        <w:pStyle w:val="Heading2"/>
      </w:pPr>
      <w:r>
        <w:t>Conclusions</w:t>
      </w:r>
    </w:p>
    <w:p w:rsidR="00DA6F61" w:rsidRPr="00521864" w:rsidRDefault="00DA6F61" w:rsidP="00DA6F61">
      <w:pPr>
        <w:pStyle w:val="BodyTextIndent"/>
      </w:pPr>
      <w:r>
        <w:t xml:space="preserve">The fast decay of the luminosity for a luminosity target of </w:t>
      </w:r>
      <w:r>
        <w:rPr>
          <w:kern w:val="16"/>
        </w:rPr>
        <w:t>10</w:t>
      </w:r>
      <w:r w:rsidRPr="00FB0475">
        <w:rPr>
          <w:kern w:val="16"/>
          <w:vertAlign w:val="superscript"/>
        </w:rPr>
        <w:t>35</w:t>
      </w:r>
      <w:r>
        <w:rPr>
          <w:kern w:val="16"/>
        </w:rPr>
        <w:t xml:space="preserve"> cm</w:t>
      </w:r>
      <w:r w:rsidRPr="00FB0475">
        <w:rPr>
          <w:kern w:val="16"/>
          <w:vertAlign w:val="superscript"/>
        </w:rPr>
        <w:t>-2</w:t>
      </w:r>
      <w:r>
        <w:rPr>
          <w:kern w:val="16"/>
        </w:rPr>
        <w:t>s</w:t>
      </w:r>
      <w:r w:rsidRPr="00FB0475">
        <w:rPr>
          <w:kern w:val="16"/>
          <w:vertAlign w:val="superscript"/>
        </w:rPr>
        <w:t>-1</w:t>
      </w:r>
      <w:r>
        <w:rPr>
          <w:kern w:val="16"/>
        </w:rPr>
        <w:t xml:space="preserve"> clearly calls for luminosity levelling, whatever the scenario. Levelling via the crossing angle is by far the </w:t>
      </w:r>
      <w:r w:rsidR="00521864">
        <w:rPr>
          <w:kern w:val="16"/>
        </w:rPr>
        <w:t>most promising</w:t>
      </w:r>
      <w:r>
        <w:rPr>
          <w:kern w:val="16"/>
        </w:rPr>
        <w:t xml:space="preserve"> method. It requi</w:t>
      </w:r>
      <w:r w:rsidR="00D031A4">
        <w:rPr>
          <w:kern w:val="16"/>
        </w:rPr>
        <w:t>res either crab cavities or an E</w:t>
      </w:r>
      <w:r>
        <w:rPr>
          <w:kern w:val="16"/>
        </w:rPr>
        <w:t>arly Separation Scheme</w:t>
      </w:r>
      <w:r w:rsidR="00521864">
        <w:rPr>
          <w:kern w:val="16"/>
        </w:rPr>
        <w:t>. Integrating the principle of levelling in a</w:t>
      </w:r>
      <w:r w:rsidR="009F14B7">
        <w:rPr>
          <w:kern w:val="16"/>
        </w:rPr>
        <w:t>n upgrade</w:t>
      </w:r>
      <w:r w:rsidR="00521864">
        <w:rPr>
          <w:kern w:val="16"/>
        </w:rPr>
        <w:t xml:space="preserve"> baseline scenario changes the project objectives: the target luminosity would become 5 to 6 10</w:t>
      </w:r>
      <w:r w:rsidR="00521864" w:rsidRPr="00FB0475">
        <w:rPr>
          <w:kern w:val="16"/>
          <w:vertAlign w:val="superscript"/>
        </w:rPr>
        <w:t>3</w:t>
      </w:r>
      <w:r w:rsidR="00521864">
        <w:rPr>
          <w:kern w:val="16"/>
          <w:vertAlign w:val="superscript"/>
        </w:rPr>
        <w:t>4</w:t>
      </w:r>
      <w:r w:rsidR="00521864">
        <w:rPr>
          <w:kern w:val="16"/>
        </w:rPr>
        <w:t xml:space="preserve"> cm</w:t>
      </w:r>
      <w:r w:rsidR="00521864" w:rsidRPr="00FB0475">
        <w:rPr>
          <w:kern w:val="16"/>
          <w:vertAlign w:val="superscript"/>
        </w:rPr>
        <w:t>-2</w:t>
      </w:r>
      <w:r w:rsidR="00521864">
        <w:rPr>
          <w:kern w:val="16"/>
        </w:rPr>
        <w:t>s</w:t>
      </w:r>
      <w:r w:rsidR="00521864" w:rsidRPr="00FB0475">
        <w:rPr>
          <w:kern w:val="16"/>
          <w:vertAlign w:val="superscript"/>
        </w:rPr>
        <w:t>-1</w:t>
      </w:r>
      <w:r w:rsidR="00521864">
        <w:rPr>
          <w:kern w:val="16"/>
        </w:rPr>
        <w:t xml:space="preserve"> stable over 5 to 8 hours, with a multiplicity of about 100 for 25 ns spacing. </w:t>
      </w:r>
      <w:r w:rsidR="000A4975">
        <w:rPr>
          <w:kern w:val="16"/>
        </w:rPr>
        <w:t xml:space="preserve">Luminosity levelling </w:t>
      </w:r>
      <w:r w:rsidR="009F14B7">
        <w:rPr>
          <w:kern w:val="16"/>
        </w:rPr>
        <w:t>has the further advantage of decreasing the dependency</w:t>
      </w:r>
      <w:r w:rsidR="000A4975">
        <w:rPr>
          <w:kern w:val="16"/>
        </w:rPr>
        <w:t xml:space="preserve"> of the performance on parameters</w:t>
      </w:r>
      <w:r w:rsidR="009F14B7">
        <w:rPr>
          <w:kern w:val="16"/>
        </w:rPr>
        <w:t xml:space="preserve"> and scenarios</w:t>
      </w:r>
      <w:r w:rsidR="000A4975">
        <w:rPr>
          <w:kern w:val="16"/>
        </w:rPr>
        <w:t>. The long-range beam-beam compensation is mature for implementation. A rapid implementation would allow the study years in advance of the primary LHC performance limitation and possibly orient the upgrade strategy.</w:t>
      </w:r>
      <w:r w:rsidR="00D04C1E">
        <w:rPr>
          <w:kern w:val="16"/>
        </w:rPr>
        <w:t xml:space="preserve"> Other methods to act upon the beam-beam effect deserve LHC studies, such as</w:t>
      </w:r>
      <w:r w:rsidR="00D031A4">
        <w:rPr>
          <w:kern w:val="16"/>
        </w:rPr>
        <w:t xml:space="preserve"> the electron lens and</w:t>
      </w:r>
      <w:r w:rsidR="00D04C1E">
        <w:rPr>
          <w:kern w:val="16"/>
        </w:rPr>
        <w:t xml:space="preserve"> the crab waist scheme. In most options, a better knowledge of the possible impact of a large </w:t>
      </w:r>
      <w:proofErr w:type="spellStart"/>
      <w:r w:rsidR="00D04C1E">
        <w:rPr>
          <w:kern w:val="16"/>
        </w:rPr>
        <w:t>Piwinski</w:t>
      </w:r>
      <w:proofErr w:type="spellEnd"/>
      <w:r w:rsidR="00D04C1E">
        <w:rPr>
          <w:kern w:val="16"/>
        </w:rPr>
        <w:t xml:space="preserve"> angle is required.</w:t>
      </w:r>
    </w:p>
    <w:p w:rsidR="00165665" w:rsidRDefault="00684707" w:rsidP="00165665">
      <w:pPr>
        <w:pStyle w:val="Heading2"/>
      </w:pPr>
      <w:r>
        <w:t>Questions &amp; answers</w:t>
      </w:r>
    </w:p>
    <w:p w:rsidR="00165665" w:rsidRPr="00552F8D" w:rsidRDefault="00684707" w:rsidP="00165665">
      <w:pPr>
        <w:pStyle w:val="BulletedList"/>
      </w:pPr>
      <w:r>
        <w:rPr>
          <w:kern w:val="16"/>
        </w:rPr>
        <w:t>Is it possible to level via the time of arrival?</w:t>
      </w:r>
    </w:p>
    <w:p w:rsidR="00552F8D" w:rsidRPr="00973EE7" w:rsidRDefault="002625F5" w:rsidP="00552F8D">
      <w:pPr>
        <w:pStyle w:val="BulletedList"/>
        <w:numPr>
          <w:ilvl w:val="0"/>
          <w:numId w:val="0"/>
        </w:numPr>
        <w:ind w:left="187"/>
      </w:pPr>
      <w:r>
        <w:rPr>
          <w:kern w:val="16"/>
        </w:rPr>
        <w:t>With respect to the beta waist, t</w:t>
      </w:r>
      <w:r w:rsidR="00552F8D">
        <w:rPr>
          <w:kern w:val="16"/>
        </w:rPr>
        <w:t>he det</w:t>
      </w:r>
      <w:r>
        <w:rPr>
          <w:kern w:val="16"/>
        </w:rPr>
        <w:t>ector longitudinal acceptance of</w:t>
      </w:r>
      <w:r w:rsidR="00552F8D">
        <w:rPr>
          <w:kern w:val="16"/>
        </w:rPr>
        <w:t xml:space="preserve"> typically ±10cm</w:t>
      </w:r>
      <w:r>
        <w:rPr>
          <w:kern w:val="16"/>
        </w:rPr>
        <w:t xml:space="preserve"> is insufficient to modify significantly the focusing. </w:t>
      </w:r>
      <w:r w:rsidR="00E4749C">
        <w:rPr>
          <w:kern w:val="16"/>
        </w:rPr>
        <w:t>The control and suppression of the beam separation at the crossing would be an additional difficulty.</w:t>
      </w:r>
    </w:p>
    <w:p w:rsidR="006A7839" w:rsidRDefault="00684707" w:rsidP="00165665">
      <w:pPr>
        <w:pStyle w:val="BulletedList"/>
      </w:pPr>
      <w:r>
        <w:t>What is the status of the Early Separation Scheme proposal?</w:t>
      </w:r>
      <w:r w:rsidR="006A7839">
        <w:t xml:space="preserve"> </w:t>
      </w:r>
    </w:p>
    <w:p w:rsidR="00684707" w:rsidRDefault="00150886" w:rsidP="006A7839">
      <w:pPr>
        <w:pStyle w:val="BulletedList"/>
        <w:numPr>
          <w:ilvl w:val="0"/>
          <w:numId w:val="0"/>
        </w:numPr>
        <w:ind w:left="187"/>
      </w:pPr>
      <w:r>
        <w:t>A detailed PhD study has been carried out by G. Sterbini [</w:t>
      </w:r>
      <w:r w:rsidR="00D031A4">
        <w:t>4</w:t>
      </w:r>
      <w:r>
        <w:t>]. Enough information is now available for decision making.</w:t>
      </w:r>
    </w:p>
    <w:p w:rsidR="00165665" w:rsidRDefault="00D04C1E" w:rsidP="00D04C1E">
      <w:pPr>
        <w:pStyle w:val="Heading2"/>
      </w:pPr>
      <w:r>
        <w:t>Acknowledgments</w:t>
      </w:r>
    </w:p>
    <w:p w:rsidR="009D465E" w:rsidRPr="009D465E" w:rsidRDefault="00B62051" w:rsidP="009D465E">
      <w:pPr>
        <w:pStyle w:val="BodyTextIndent"/>
      </w:pPr>
      <w:r>
        <w:t>The au</w:t>
      </w:r>
      <w:r w:rsidR="00B32584">
        <w:t>tho</w:t>
      </w:r>
      <w:r w:rsidR="009D465E">
        <w:t xml:space="preserve">r wishes to acknowledge discussions, contributions or support by E. </w:t>
      </w:r>
      <w:proofErr w:type="spellStart"/>
      <w:r w:rsidR="009D465E">
        <w:t>Shaposhnikova</w:t>
      </w:r>
      <w:proofErr w:type="spellEnd"/>
      <w:r w:rsidR="009D465E">
        <w:t xml:space="preserve">, L. Rossi, </w:t>
      </w:r>
      <w:proofErr w:type="gramStart"/>
      <w:r w:rsidR="009D465E">
        <w:t>G</w:t>
      </w:r>
      <w:proofErr w:type="gramEnd"/>
      <w:r w:rsidR="009D465E">
        <w:t xml:space="preserve">. Sterbini. F. Zimmermann, the SPS “wire MD team” with G. Burtin, R. Calaga, G. Sterbini, R. Tomas, F. Zimmermann and the author, </w:t>
      </w:r>
      <w:r w:rsidR="00B32584">
        <w:t xml:space="preserve">W. Fischer, T. </w:t>
      </w:r>
      <w:proofErr w:type="spellStart"/>
      <w:r w:rsidR="00B32584">
        <w:t>Sen</w:t>
      </w:r>
      <w:proofErr w:type="spellEnd"/>
      <w:r w:rsidR="00B32584">
        <w:t xml:space="preserve"> and </w:t>
      </w:r>
      <w:r w:rsidR="009D465E">
        <w:t>the USLARP colleagues</w:t>
      </w:r>
      <w:r>
        <w:t>, especially in the CARE-HHH framework.</w:t>
      </w:r>
    </w:p>
    <w:p w:rsidR="00165665" w:rsidRDefault="00165665" w:rsidP="00165665">
      <w:pPr>
        <w:pStyle w:val="Heading2"/>
      </w:pPr>
      <w:r>
        <w:t>References</w:t>
      </w:r>
    </w:p>
    <w:p w:rsidR="00FB0475" w:rsidRDefault="00165665" w:rsidP="00165665">
      <w:pPr>
        <w:pStyle w:val="ReferenceTextChar"/>
      </w:pPr>
      <w:r w:rsidRPr="00E56880">
        <w:t>[1]</w:t>
      </w:r>
      <w:r w:rsidRPr="00E56880">
        <w:tab/>
      </w:r>
      <w:r w:rsidR="00FB0475">
        <w:t>F. Ruggiero (editor), LHC Luminosity and energy upgrade: a feasibility study, LHC Project Report 626, 2002.</w:t>
      </w:r>
    </w:p>
    <w:p w:rsidR="00BC249C" w:rsidRDefault="00165665" w:rsidP="00165665">
      <w:pPr>
        <w:pStyle w:val="ReferenceTextChar"/>
      </w:pPr>
      <w:r w:rsidRPr="00E56880">
        <w:t>[2]</w:t>
      </w:r>
      <w:r w:rsidRPr="00E56880">
        <w:tab/>
      </w:r>
      <w:r w:rsidR="00B64316">
        <w:t xml:space="preserve">V. </w:t>
      </w:r>
      <w:proofErr w:type="spellStart"/>
      <w:r w:rsidR="00B64316">
        <w:t>Lebedev</w:t>
      </w:r>
      <w:proofErr w:type="spellEnd"/>
      <w:r w:rsidR="00B64316">
        <w:t>,</w:t>
      </w:r>
      <w:r w:rsidR="000C7173">
        <w:t xml:space="preserve"> “Levelling with beta*”, CARE-HHH-BEAM07, CERN 2007, </w:t>
      </w:r>
    </w:p>
    <w:p w:rsidR="00165665" w:rsidRPr="00E56880" w:rsidRDefault="00BC249C" w:rsidP="00BC249C">
      <w:pPr>
        <w:pStyle w:val="ReferenceTextChar"/>
      </w:pPr>
      <w:r>
        <w:t xml:space="preserve"> </w:t>
      </w:r>
      <w:hyperlink r:id="rId25" w:history="1">
        <w:r w:rsidR="000C7173" w:rsidRPr="00BC249C">
          <w:t>http://indico.cern.ch/getFile.py/access?contribId=12&amp;sessionId=5&amp;resId=2&amp;materialId=slides&amp;confId=20082</w:t>
        </w:r>
      </w:hyperlink>
      <w:r w:rsidR="000C7173">
        <w:t xml:space="preserve"> </w:t>
      </w:r>
      <w:r w:rsidR="00165665" w:rsidRPr="00E56880">
        <w:t>.</w:t>
      </w:r>
    </w:p>
    <w:p w:rsidR="00165665" w:rsidRDefault="00165665" w:rsidP="00165665">
      <w:pPr>
        <w:pStyle w:val="ReferenceTextChar"/>
      </w:pPr>
      <w:r w:rsidRPr="00E56880">
        <w:t>[3]</w:t>
      </w:r>
      <w:r w:rsidRPr="00E56880">
        <w:tab/>
      </w:r>
      <w:r w:rsidR="00B64316">
        <w:t xml:space="preserve">J.P. Koutchouk, </w:t>
      </w:r>
      <w:r w:rsidR="00C2751A">
        <w:t xml:space="preserve">K. </w:t>
      </w:r>
      <w:proofErr w:type="spellStart"/>
      <w:r w:rsidR="00C2751A">
        <w:t>Ohmi</w:t>
      </w:r>
      <w:proofErr w:type="spellEnd"/>
      <w:r w:rsidR="00C2751A">
        <w:t xml:space="preserve">, </w:t>
      </w:r>
      <w:r w:rsidR="00B64316">
        <w:t xml:space="preserve">G. Sterbini, </w:t>
      </w:r>
      <w:r w:rsidR="00C2751A">
        <w:t xml:space="preserve">“Increasing the integrated luminosity of </w:t>
      </w:r>
      <w:proofErr w:type="spellStart"/>
      <w:r w:rsidR="00C2751A">
        <w:t>sLHC</w:t>
      </w:r>
      <w:proofErr w:type="spellEnd"/>
      <w:r w:rsidR="00C2751A">
        <w:t xml:space="preserve"> by luminosity levelling via the crossing angle, CERN-AT-2008-017 and EPAC 2008.</w:t>
      </w:r>
    </w:p>
    <w:p w:rsidR="00B64316" w:rsidRDefault="00B64316" w:rsidP="00BA570A">
      <w:pPr>
        <w:pStyle w:val="ReferenceTextChar"/>
      </w:pPr>
      <w:r>
        <w:t>[4</w:t>
      </w:r>
      <w:proofErr w:type="gramStart"/>
      <w:r w:rsidR="00150886">
        <w:t>]</w:t>
      </w:r>
      <w:r w:rsidR="00BA570A">
        <w:t xml:space="preserve"> </w:t>
      </w:r>
      <w:r w:rsidR="00150886">
        <w:t xml:space="preserve"> </w:t>
      </w:r>
      <w:r w:rsidR="00150886" w:rsidRPr="00BA570A">
        <w:t>G</w:t>
      </w:r>
      <w:proofErr w:type="gramEnd"/>
      <w:r w:rsidRPr="00BA570A">
        <w:t>. Sterbini, “An early separation scheme for the LHC luminosity upgrade”, CERN-THESIS-2009-136</w:t>
      </w:r>
      <w:r>
        <w:t xml:space="preserve"> These N. 4574. –Lausanne: EPFL, 2009.</w:t>
      </w:r>
    </w:p>
    <w:p w:rsidR="00312325" w:rsidRDefault="0025730D" w:rsidP="00BA570A">
      <w:pPr>
        <w:pStyle w:val="ReferenceTextChar"/>
      </w:pPr>
      <w:r>
        <w:t>[5]   J.P. Koutchouk</w:t>
      </w:r>
      <w:r w:rsidR="00396004">
        <w:t xml:space="preserve">, Correction of the long-range beam-beam effect in LHC using electro-magnetic lenses, </w:t>
      </w:r>
      <w:r w:rsidR="00312325">
        <w:t>19</w:t>
      </w:r>
      <w:r w:rsidR="00312325" w:rsidRPr="00312325">
        <w:rPr>
          <w:vertAlign w:val="superscript"/>
        </w:rPr>
        <w:t>th</w:t>
      </w:r>
      <w:r w:rsidR="00312325">
        <w:t xml:space="preserve"> IEEE PAC, Chicago, 18-22 June 2001, p. 1681.</w:t>
      </w:r>
    </w:p>
    <w:p w:rsidR="008059A9" w:rsidRDefault="003733AB" w:rsidP="00BA570A">
      <w:pPr>
        <w:pStyle w:val="ReferenceTextChar"/>
        <w:rPr>
          <w:lang w:val="en-US"/>
        </w:rPr>
      </w:pPr>
      <w:r>
        <w:t>[6</w:t>
      </w:r>
      <w:r w:rsidR="00C94223">
        <w:t xml:space="preserve">]   </w:t>
      </w:r>
      <w:r w:rsidR="00C94223" w:rsidRPr="00C94223">
        <w:rPr>
          <w:lang w:val="en-US"/>
        </w:rPr>
        <w:t xml:space="preserve">J.-P. Koutchouk, </w:t>
      </w:r>
      <w:r w:rsidR="00C94223" w:rsidRPr="00C94223">
        <w:rPr>
          <w:iCs/>
          <w:lang w:val="en-US"/>
        </w:rPr>
        <w:t xml:space="preserve">“Possible </w:t>
      </w:r>
      <w:proofErr w:type="spellStart"/>
      <w:r w:rsidR="00C94223" w:rsidRPr="00C94223">
        <w:rPr>
          <w:iCs/>
          <w:lang w:val="en-US"/>
        </w:rPr>
        <w:t>quadrupole</w:t>
      </w:r>
      <w:proofErr w:type="spellEnd"/>
      <w:r w:rsidR="00C94223" w:rsidRPr="00C94223">
        <w:rPr>
          <w:iCs/>
          <w:lang w:val="en-US"/>
        </w:rPr>
        <w:t xml:space="preserve">-first </w:t>
      </w:r>
      <w:r w:rsidR="00C94223">
        <w:rPr>
          <w:iCs/>
          <w:lang w:val="en-US"/>
        </w:rPr>
        <w:t xml:space="preserve">options with </w:t>
      </w:r>
      <w:r w:rsidR="00C94223">
        <w:rPr>
          <w:iCs/>
          <w:lang w:val="en-US"/>
        </w:rPr>
        <w:sym w:font="Symbol" w:char="F062"/>
      </w:r>
      <w:r w:rsidR="00C94223">
        <w:rPr>
          <w:iCs/>
          <w:vertAlign w:val="superscript"/>
          <w:lang w:val="en-US"/>
        </w:rPr>
        <w:t>*</w:t>
      </w:r>
      <w:r w:rsidR="00C94223" w:rsidRPr="00C94223">
        <w:rPr>
          <w:iCs/>
          <w:lang w:val="en-US"/>
        </w:rPr>
        <w:t xml:space="preserve"> &lt;</w:t>
      </w:r>
      <w:r w:rsidR="00C94223" w:rsidRPr="00C94223">
        <w:rPr>
          <w:lang w:val="en-US"/>
        </w:rPr>
        <w:t>= 0</w:t>
      </w:r>
      <w:r w:rsidR="00C94223">
        <w:rPr>
          <w:iCs/>
          <w:lang w:val="en-US"/>
        </w:rPr>
        <w:t>.</w:t>
      </w:r>
      <w:r w:rsidR="00C94223" w:rsidRPr="00C94223">
        <w:rPr>
          <w:lang w:val="en-US"/>
        </w:rPr>
        <w:t xml:space="preserve">25 </w:t>
      </w:r>
      <w:r w:rsidR="00C94223" w:rsidRPr="00C94223">
        <w:rPr>
          <w:iCs/>
          <w:lang w:val="en-US"/>
        </w:rPr>
        <w:t>m”</w:t>
      </w:r>
      <w:r w:rsidR="00C94223" w:rsidRPr="00C94223">
        <w:rPr>
          <w:lang w:val="en-US"/>
        </w:rPr>
        <w:t>, Workshop CARE-HHH LHC-LUMI-05,</w:t>
      </w:r>
      <w:r w:rsidR="00C94223">
        <w:rPr>
          <w:lang w:val="en-US"/>
        </w:rPr>
        <w:t xml:space="preserve"> </w:t>
      </w:r>
      <w:proofErr w:type="spellStart"/>
      <w:r w:rsidR="00C94223" w:rsidRPr="00C94223">
        <w:rPr>
          <w:lang w:val="en-US"/>
        </w:rPr>
        <w:t>Arcidosso</w:t>
      </w:r>
      <w:proofErr w:type="spellEnd"/>
      <w:r w:rsidR="00C94223" w:rsidRPr="00C94223">
        <w:rPr>
          <w:lang w:val="en-US"/>
        </w:rPr>
        <w:t>, 2005.</w:t>
      </w:r>
    </w:p>
    <w:p w:rsidR="0034578C" w:rsidRDefault="0034578C" w:rsidP="00BA570A">
      <w:pPr>
        <w:pStyle w:val="ReferenceTextChar"/>
        <w:rPr>
          <w:lang w:val="en-US"/>
        </w:rPr>
      </w:pPr>
      <w:r w:rsidRPr="0034578C">
        <w:rPr>
          <w:lang w:val="fr-CH"/>
        </w:rPr>
        <w:t xml:space="preserve">[7] </w:t>
      </w:r>
      <w:r>
        <w:rPr>
          <w:lang w:val="fr-CH"/>
        </w:rPr>
        <w:t xml:space="preserve"> </w:t>
      </w:r>
      <w:r w:rsidRPr="0034578C">
        <w:rPr>
          <w:lang w:val="fr-CH"/>
        </w:rPr>
        <w:t xml:space="preserve">R. Calaga </w:t>
      </w:r>
      <w:r w:rsidRPr="0034578C">
        <w:rPr>
          <w:i/>
          <w:lang w:val="fr-CH"/>
        </w:rPr>
        <w:t xml:space="preserve">et </w:t>
      </w:r>
      <w:proofErr w:type="gramStart"/>
      <w:r w:rsidRPr="0034578C">
        <w:rPr>
          <w:i/>
          <w:lang w:val="fr-CH"/>
        </w:rPr>
        <w:t>al.,</w:t>
      </w:r>
      <w:proofErr w:type="gramEnd"/>
      <w:r w:rsidRPr="0034578C">
        <w:rPr>
          <w:lang w:val="fr-CH"/>
        </w:rPr>
        <w:t xml:space="preserve"> LHC </w:t>
      </w:r>
      <w:proofErr w:type="spellStart"/>
      <w:r w:rsidRPr="0034578C">
        <w:rPr>
          <w:lang w:val="fr-CH"/>
        </w:rPr>
        <w:t>crab</w:t>
      </w:r>
      <w:proofErr w:type="spellEnd"/>
      <w:r w:rsidRPr="0034578C">
        <w:rPr>
          <w:lang w:val="fr-CH"/>
        </w:rPr>
        <w:t xml:space="preserve"> </w:t>
      </w:r>
      <w:proofErr w:type="spellStart"/>
      <w:r w:rsidRPr="0034578C">
        <w:rPr>
          <w:lang w:val="fr-CH"/>
        </w:rPr>
        <w:t>cavities</w:t>
      </w:r>
      <w:proofErr w:type="spellEnd"/>
      <w:r w:rsidRPr="0034578C">
        <w:rPr>
          <w:lang w:val="fr-CH"/>
        </w:rPr>
        <w:t xml:space="preserve">, </w:t>
      </w:r>
      <w:r>
        <w:rPr>
          <w:lang w:val="fr-CH"/>
        </w:rPr>
        <w:t xml:space="preserve">Proc. </w:t>
      </w:r>
      <w:proofErr w:type="gramStart"/>
      <w:r w:rsidRPr="0034578C">
        <w:rPr>
          <w:lang w:val="en-US"/>
        </w:rPr>
        <w:t xml:space="preserve">CARE-HHH-2008 workshop, CERN-2009-004, p. </w:t>
      </w:r>
      <w:r>
        <w:rPr>
          <w:lang w:val="en-US"/>
        </w:rPr>
        <w:t>133.</w:t>
      </w:r>
      <w:proofErr w:type="gramEnd"/>
    </w:p>
    <w:p w:rsidR="00FA0676" w:rsidRPr="0034578C" w:rsidRDefault="00FA0676" w:rsidP="00BA570A">
      <w:pPr>
        <w:pStyle w:val="ReferenceTextChar"/>
        <w:rPr>
          <w:iCs/>
          <w:szCs w:val="20"/>
          <w:lang w:val="en-US"/>
        </w:rPr>
      </w:pPr>
      <w:r>
        <w:rPr>
          <w:szCs w:val="20"/>
          <w:lang w:val="en-US"/>
        </w:rPr>
        <w:t>[8</w:t>
      </w:r>
      <w:proofErr w:type="gramStart"/>
      <w:r>
        <w:rPr>
          <w:szCs w:val="20"/>
          <w:lang w:val="en-US"/>
        </w:rPr>
        <w:t>]  E</w:t>
      </w:r>
      <w:proofErr w:type="gramEnd"/>
      <w:r>
        <w:rPr>
          <w:szCs w:val="20"/>
          <w:lang w:val="en-US"/>
        </w:rPr>
        <w:t xml:space="preserve">. </w:t>
      </w:r>
      <w:proofErr w:type="spellStart"/>
      <w:r>
        <w:rPr>
          <w:szCs w:val="20"/>
          <w:lang w:val="en-US"/>
        </w:rPr>
        <w:t>Shaposhnikova</w:t>
      </w:r>
      <w:proofErr w:type="spellEnd"/>
      <w:r>
        <w:rPr>
          <w:szCs w:val="20"/>
          <w:lang w:val="en-US"/>
        </w:rPr>
        <w:t>, private communication, 2010.</w:t>
      </w:r>
    </w:p>
    <w:p w:rsidR="008059A9" w:rsidRDefault="00ED4A54" w:rsidP="00BA570A">
      <w:pPr>
        <w:pStyle w:val="ReferenceTextChar"/>
      </w:pPr>
      <w:r>
        <w:t>[9</w:t>
      </w:r>
      <w:r w:rsidR="008059A9">
        <w:t xml:space="preserve">] V. </w:t>
      </w:r>
      <w:proofErr w:type="spellStart"/>
      <w:r w:rsidR="008059A9">
        <w:t>Kamerdzhiev</w:t>
      </w:r>
      <w:proofErr w:type="spellEnd"/>
      <w:r w:rsidR="008059A9">
        <w:t xml:space="preserve">, </w:t>
      </w:r>
      <w:r>
        <w:t xml:space="preserve">Beam-beam compensation with </w:t>
      </w:r>
      <w:proofErr w:type="spellStart"/>
      <w:r>
        <w:t>Tevatron</w:t>
      </w:r>
      <w:proofErr w:type="spellEnd"/>
      <w:r>
        <w:t xml:space="preserve"> electron lens, LARP </w:t>
      </w:r>
      <w:proofErr w:type="spellStart"/>
      <w:r>
        <w:t>Miniworkshop</w:t>
      </w:r>
      <w:proofErr w:type="spellEnd"/>
      <w:r>
        <w:t>, SLAC, July 2-4, 2007.</w:t>
      </w:r>
    </w:p>
    <w:p w:rsidR="00BA570A" w:rsidRDefault="00E67B67" w:rsidP="00BA570A">
      <w:pPr>
        <w:pStyle w:val="ReferenceTextChar"/>
      </w:pPr>
      <w:r>
        <w:t>[10</w:t>
      </w:r>
      <w:r w:rsidR="008059A9">
        <w:t>] F. Zimmermann</w:t>
      </w:r>
      <w:r>
        <w:t xml:space="preserve">, Weak-strong simulation studies for the LHC long-range beam-beam compensation, Proc. </w:t>
      </w:r>
      <w:r w:rsidR="00D30B6F">
        <w:t>o</w:t>
      </w:r>
      <w:r>
        <w:t xml:space="preserve">f a workshop on beam-beam effects in circular </w:t>
      </w:r>
      <w:proofErr w:type="spellStart"/>
      <w:r>
        <w:t>collidres</w:t>
      </w:r>
      <w:proofErr w:type="spellEnd"/>
      <w:r>
        <w:t xml:space="preserve">, </w:t>
      </w:r>
      <w:proofErr w:type="spellStart"/>
      <w:r>
        <w:t>Fermilab</w:t>
      </w:r>
      <w:proofErr w:type="spellEnd"/>
      <w:r>
        <w:t>, June 25-27, 2001, FERMILAB-Conf-01/390T.</w:t>
      </w:r>
    </w:p>
    <w:p w:rsidR="00150886" w:rsidRDefault="00BA570A" w:rsidP="00BA570A">
      <w:pPr>
        <w:pStyle w:val="ReferenceTextChar"/>
      </w:pPr>
      <w:r>
        <w:t>[</w:t>
      </w:r>
      <w:r w:rsidR="00D06078">
        <w:t xml:space="preserve">11] G. Sterbini </w:t>
      </w:r>
      <w:r w:rsidR="00D06078" w:rsidRPr="00D06078">
        <w:rPr>
          <w:i/>
        </w:rPr>
        <w:t>et al.,</w:t>
      </w:r>
      <w:r w:rsidR="00D06078">
        <w:t xml:space="preserve"> SPS MD report in preparation.</w:t>
      </w:r>
    </w:p>
    <w:p w:rsidR="00EA79F3" w:rsidRDefault="00EA79F3" w:rsidP="00BA570A">
      <w:pPr>
        <w:pStyle w:val="ReferenceTextChar"/>
      </w:pPr>
      <w:r>
        <w:t>[12]</w:t>
      </w:r>
      <w:r w:rsidR="00056830">
        <w:t xml:space="preserve"> U. </w:t>
      </w:r>
      <w:proofErr w:type="spellStart"/>
      <w:r w:rsidR="00056830">
        <w:t>Dorda</w:t>
      </w:r>
      <w:proofErr w:type="spellEnd"/>
      <w:r w:rsidR="00340A83">
        <w:t>, Compensation of long-range</w:t>
      </w:r>
      <w:r w:rsidR="00056830">
        <w:t xml:space="preserve"> beam-beam </w:t>
      </w:r>
      <w:r w:rsidR="00340A83">
        <w:t>interaction at the CERN-LHC, CERN-THESIS-2008-055, TUV, Vienna, 2008.</w:t>
      </w:r>
    </w:p>
    <w:p w:rsidR="00340A83" w:rsidRDefault="00340A83" w:rsidP="00BA570A">
      <w:pPr>
        <w:pStyle w:val="ReferenceTextChar"/>
      </w:pPr>
      <w:r>
        <w:t xml:space="preserve">[13] C. Milardi </w:t>
      </w:r>
      <w:r w:rsidRPr="00340A83">
        <w:rPr>
          <w:i/>
        </w:rPr>
        <w:t>et al.,</w:t>
      </w:r>
      <w:r>
        <w:t xml:space="preserve"> Wire compensation of parasitic crossings in DAFNE, Proc. EPAC</w:t>
      </w:r>
      <w:r w:rsidR="00B10069">
        <w:t>’</w:t>
      </w:r>
      <w:r>
        <w:t>06, 2006.</w:t>
      </w:r>
    </w:p>
    <w:p w:rsidR="006819CA" w:rsidRDefault="006819CA" w:rsidP="00BA570A">
      <w:pPr>
        <w:pStyle w:val="ReferenceTextChar"/>
      </w:pPr>
      <w:r>
        <w:t>[14] J. Shi, L. Jin, W. Herr, Study of the wire compensation of long-range beam-beam interactions in LHC with a strong-strong beam-beam simulation, Proc. EPAC’02, 2002.</w:t>
      </w:r>
    </w:p>
    <w:p w:rsidR="0029712A" w:rsidRDefault="0029712A" w:rsidP="00BA570A">
      <w:pPr>
        <w:pStyle w:val="ReferenceTextChar"/>
      </w:pPr>
      <w:r>
        <w:t>[15] J. Qiang,</w:t>
      </w:r>
      <w:r w:rsidR="00A9660A">
        <w:t xml:space="preserve"> 3D strong-strong simulations of wire compensation of long-range beam-beam effects at LHC, PAC09, 2009.</w:t>
      </w:r>
    </w:p>
    <w:p w:rsidR="00056830" w:rsidRDefault="00032D0E" w:rsidP="00BA570A">
      <w:pPr>
        <w:pStyle w:val="ReferenceTextChar"/>
      </w:pPr>
      <w:r>
        <w:t xml:space="preserve">[16] </w:t>
      </w:r>
      <w:r>
        <w:rPr>
          <w:lang w:val="en-US"/>
        </w:rPr>
        <w:t xml:space="preserve">W. </w:t>
      </w:r>
      <w:proofErr w:type="spellStart"/>
      <w:r>
        <w:rPr>
          <w:lang w:val="en-US"/>
        </w:rPr>
        <w:t>Shiltsev</w:t>
      </w:r>
      <w:proofErr w:type="spellEnd"/>
      <w:r>
        <w:rPr>
          <w:lang w:val="en-US"/>
        </w:rPr>
        <w:t>, Electron lenses for compensation of beam-beam effects, HHH-CARE-APD BEAM07, CERN, 2007.</w:t>
      </w:r>
    </w:p>
    <w:sectPr w:rsidR="00056830"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D0E" w:rsidRDefault="00032D0E"/>
  </w:endnote>
  <w:endnote w:type="continuationSeparator" w:id="0">
    <w:p w:rsidR="00032D0E" w:rsidRDefault="00032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D0E" w:rsidRDefault="00032D0E">
      <w:r>
        <w:separator/>
      </w:r>
    </w:p>
  </w:footnote>
  <w:footnote w:type="continuationSeparator" w:id="0">
    <w:p w:rsidR="00032D0E" w:rsidRDefault="00032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4">
    <w:nsid w:val="5E8855FB"/>
    <w:multiLevelType w:val="hybridMultilevel"/>
    <w:tmpl w:val="9FF63EE8"/>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nsid w:val="6A064890"/>
    <w:multiLevelType w:val="hybridMultilevel"/>
    <w:tmpl w:val="EF203F9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001"/>
  <w:defaultTabStop w:val="720"/>
  <w:drawingGridHorizontalSpacing w:val="29"/>
  <w:drawingGridVerticalSpacing w:val="187"/>
  <w:displayHorizontalDrawingGridEvery w:val="2"/>
  <w:displayVerticalDrawingGridEvery w:val="2"/>
  <w:noPunctuationKerning/>
  <w:characterSpacingControl w:val="doNotCompress"/>
  <w:savePreviewPicture/>
  <w:footnotePr>
    <w:pos w:val="beneathText"/>
    <w:numFmt w:val="chicago"/>
    <w:footnote w:id="-1"/>
    <w:footnote w:id="0"/>
  </w:footnotePr>
  <w:endnotePr>
    <w:numFmt w:val="decimal"/>
    <w:endnote w:id="-1"/>
    <w:endnote w:id="0"/>
  </w:endnotePr>
  <w:compat/>
  <w:rsids>
    <w:rsidRoot w:val="006D51B7"/>
    <w:rsid w:val="00006C10"/>
    <w:rsid w:val="00007B29"/>
    <w:rsid w:val="00032D0E"/>
    <w:rsid w:val="00052CB4"/>
    <w:rsid w:val="00056830"/>
    <w:rsid w:val="00074A20"/>
    <w:rsid w:val="0008186D"/>
    <w:rsid w:val="000850D5"/>
    <w:rsid w:val="000944D7"/>
    <w:rsid w:val="000A2A9A"/>
    <w:rsid w:val="000A3109"/>
    <w:rsid w:val="000A38BE"/>
    <w:rsid w:val="000A4975"/>
    <w:rsid w:val="000C7173"/>
    <w:rsid w:val="000D0EE2"/>
    <w:rsid w:val="000D5A3B"/>
    <w:rsid w:val="000E057A"/>
    <w:rsid w:val="000E1BEA"/>
    <w:rsid w:val="000E28FD"/>
    <w:rsid w:val="000E57D6"/>
    <w:rsid w:val="000F0D20"/>
    <w:rsid w:val="001070E9"/>
    <w:rsid w:val="00107824"/>
    <w:rsid w:val="00115491"/>
    <w:rsid w:val="0014145F"/>
    <w:rsid w:val="0014310D"/>
    <w:rsid w:val="00150886"/>
    <w:rsid w:val="0015344C"/>
    <w:rsid w:val="00165665"/>
    <w:rsid w:val="00166982"/>
    <w:rsid w:val="00191F56"/>
    <w:rsid w:val="001B44BF"/>
    <w:rsid w:val="001D6284"/>
    <w:rsid w:val="00211E76"/>
    <w:rsid w:val="00225E81"/>
    <w:rsid w:val="002300C6"/>
    <w:rsid w:val="0024738B"/>
    <w:rsid w:val="0025730D"/>
    <w:rsid w:val="002625F5"/>
    <w:rsid w:val="00266744"/>
    <w:rsid w:val="002749C9"/>
    <w:rsid w:val="0029712A"/>
    <w:rsid w:val="002B57DD"/>
    <w:rsid w:val="002C6318"/>
    <w:rsid w:val="002D096D"/>
    <w:rsid w:val="002D2A47"/>
    <w:rsid w:val="002E123B"/>
    <w:rsid w:val="002E3ED2"/>
    <w:rsid w:val="003003BA"/>
    <w:rsid w:val="00312325"/>
    <w:rsid w:val="00320F6E"/>
    <w:rsid w:val="003253EC"/>
    <w:rsid w:val="00327810"/>
    <w:rsid w:val="00340A83"/>
    <w:rsid w:val="003412C6"/>
    <w:rsid w:val="0034578C"/>
    <w:rsid w:val="003565F6"/>
    <w:rsid w:val="00356F52"/>
    <w:rsid w:val="00370789"/>
    <w:rsid w:val="003733AB"/>
    <w:rsid w:val="0037743E"/>
    <w:rsid w:val="00390915"/>
    <w:rsid w:val="00394F4B"/>
    <w:rsid w:val="00396004"/>
    <w:rsid w:val="003A575A"/>
    <w:rsid w:val="003B1DA2"/>
    <w:rsid w:val="003C2B35"/>
    <w:rsid w:val="003C52DD"/>
    <w:rsid w:val="0040657A"/>
    <w:rsid w:val="0041646F"/>
    <w:rsid w:val="00447E9A"/>
    <w:rsid w:val="00483FB3"/>
    <w:rsid w:val="004A1546"/>
    <w:rsid w:val="004A4673"/>
    <w:rsid w:val="004A72CF"/>
    <w:rsid w:val="004B2A91"/>
    <w:rsid w:val="004E5BA3"/>
    <w:rsid w:val="004F07D5"/>
    <w:rsid w:val="004F2A1D"/>
    <w:rsid w:val="00505D18"/>
    <w:rsid w:val="00506C77"/>
    <w:rsid w:val="00521864"/>
    <w:rsid w:val="00542A68"/>
    <w:rsid w:val="00544B1C"/>
    <w:rsid w:val="00552F8D"/>
    <w:rsid w:val="0057425F"/>
    <w:rsid w:val="005779BE"/>
    <w:rsid w:val="0058524B"/>
    <w:rsid w:val="005909C8"/>
    <w:rsid w:val="005B07DB"/>
    <w:rsid w:val="005B3B1E"/>
    <w:rsid w:val="005C4D6E"/>
    <w:rsid w:val="005E24F7"/>
    <w:rsid w:val="005F6709"/>
    <w:rsid w:val="006117AA"/>
    <w:rsid w:val="0062318D"/>
    <w:rsid w:val="00627F32"/>
    <w:rsid w:val="00647D43"/>
    <w:rsid w:val="006560C3"/>
    <w:rsid w:val="00657D7A"/>
    <w:rsid w:val="00662C6C"/>
    <w:rsid w:val="00680678"/>
    <w:rsid w:val="006819CA"/>
    <w:rsid w:val="006845B5"/>
    <w:rsid w:val="00684707"/>
    <w:rsid w:val="006900E9"/>
    <w:rsid w:val="006A036D"/>
    <w:rsid w:val="006A0D6B"/>
    <w:rsid w:val="006A16DC"/>
    <w:rsid w:val="006A3727"/>
    <w:rsid w:val="006A7839"/>
    <w:rsid w:val="006B619E"/>
    <w:rsid w:val="006C58CD"/>
    <w:rsid w:val="006D2E65"/>
    <w:rsid w:val="006D51B7"/>
    <w:rsid w:val="006F000B"/>
    <w:rsid w:val="006F69A8"/>
    <w:rsid w:val="00705910"/>
    <w:rsid w:val="00706040"/>
    <w:rsid w:val="007077EA"/>
    <w:rsid w:val="00720771"/>
    <w:rsid w:val="0072119C"/>
    <w:rsid w:val="00727DE6"/>
    <w:rsid w:val="007323C0"/>
    <w:rsid w:val="00747D70"/>
    <w:rsid w:val="007560C7"/>
    <w:rsid w:val="0075610F"/>
    <w:rsid w:val="00761218"/>
    <w:rsid w:val="00761435"/>
    <w:rsid w:val="00782C07"/>
    <w:rsid w:val="00787CAF"/>
    <w:rsid w:val="007B1A5A"/>
    <w:rsid w:val="007C5758"/>
    <w:rsid w:val="007D1D1F"/>
    <w:rsid w:val="007D6325"/>
    <w:rsid w:val="007E58B4"/>
    <w:rsid w:val="007E6E3D"/>
    <w:rsid w:val="007F29FF"/>
    <w:rsid w:val="00801CB2"/>
    <w:rsid w:val="008059A9"/>
    <w:rsid w:val="00831D17"/>
    <w:rsid w:val="00887F31"/>
    <w:rsid w:val="00893A6E"/>
    <w:rsid w:val="008968B5"/>
    <w:rsid w:val="008A01FD"/>
    <w:rsid w:val="008E027F"/>
    <w:rsid w:val="008E2AA8"/>
    <w:rsid w:val="008E2BA0"/>
    <w:rsid w:val="008F5E79"/>
    <w:rsid w:val="0091189D"/>
    <w:rsid w:val="00922C1A"/>
    <w:rsid w:val="0093374E"/>
    <w:rsid w:val="00933A2A"/>
    <w:rsid w:val="009615B5"/>
    <w:rsid w:val="00963151"/>
    <w:rsid w:val="00973EE7"/>
    <w:rsid w:val="009A4A2F"/>
    <w:rsid w:val="009A6B95"/>
    <w:rsid w:val="009B15A2"/>
    <w:rsid w:val="009C5D88"/>
    <w:rsid w:val="009D1438"/>
    <w:rsid w:val="009D465E"/>
    <w:rsid w:val="009E24BD"/>
    <w:rsid w:val="009E77E5"/>
    <w:rsid w:val="009F14B7"/>
    <w:rsid w:val="009F4E95"/>
    <w:rsid w:val="00A045D8"/>
    <w:rsid w:val="00A0678D"/>
    <w:rsid w:val="00A06B28"/>
    <w:rsid w:val="00A06FB3"/>
    <w:rsid w:val="00A10655"/>
    <w:rsid w:val="00A14D2F"/>
    <w:rsid w:val="00A1613D"/>
    <w:rsid w:val="00A357B2"/>
    <w:rsid w:val="00A45AC9"/>
    <w:rsid w:val="00A66154"/>
    <w:rsid w:val="00A9660A"/>
    <w:rsid w:val="00A97AC9"/>
    <w:rsid w:val="00AB1310"/>
    <w:rsid w:val="00AC50C3"/>
    <w:rsid w:val="00AD0058"/>
    <w:rsid w:val="00AE3698"/>
    <w:rsid w:val="00B10069"/>
    <w:rsid w:val="00B216A3"/>
    <w:rsid w:val="00B229FB"/>
    <w:rsid w:val="00B32584"/>
    <w:rsid w:val="00B34234"/>
    <w:rsid w:val="00B349B5"/>
    <w:rsid w:val="00B62051"/>
    <w:rsid w:val="00B64316"/>
    <w:rsid w:val="00B75D5E"/>
    <w:rsid w:val="00B84261"/>
    <w:rsid w:val="00BA570A"/>
    <w:rsid w:val="00BA6869"/>
    <w:rsid w:val="00BC249C"/>
    <w:rsid w:val="00BC515F"/>
    <w:rsid w:val="00BC6C9C"/>
    <w:rsid w:val="00C2751A"/>
    <w:rsid w:val="00C53798"/>
    <w:rsid w:val="00C94223"/>
    <w:rsid w:val="00C9425B"/>
    <w:rsid w:val="00CA77A4"/>
    <w:rsid w:val="00CB7370"/>
    <w:rsid w:val="00CC1A6E"/>
    <w:rsid w:val="00CE786F"/>
    <w:rsid w:val="00D031A4"/>
    <w:rsid w:val="00D04C1E"/>
    <w:rsid w:val="00D06078"/>
    <w:rsid w:val="00D308C1"/>
    <w:rsid w:val="00D30B6F"/>
    <w:rsid w:val="00D47147"/>
    <w:rsid w:val="00D550FB"/>
    <w:rsid w:val="00D6112E"/>
    <w:rsid w:val="00D718A5"/>
    <w:rsid w:val="00DA6F61"/>
    <w:rsid w:val="00DB0F98"/>
    <w:rsid w:val="00DD3E11"/>
    <w:rsid w:val="00DE79DC"/>
    <w:rsid w:val="00DF7692"/>
    <w:rsid w:val="00E04CBE"/>
    <w:rsid w:val="00E37CD4"/>
    <w:rsid w:val="00E4749C"/>
    <w:rsid w:val="00E47E1F"/>
    <w:rsid w:val="00E51924"/>
    <w:rsid w:val="00E67B67"/>
    <w:rsid w:val="00EA79F3"/>
    <w:rsid w:val="00EB1E89"/>
    <w:rsid w:val="00EC74E3"/>
    <w:rsid w:val="00ED4A54"/>
    <w:rsid w:val="00EF3398"/>
    <w:rsid w:val="00F40C45"/>
    <w:rsid w:val="00F42AAA"/>
    <w:rsid w:val="00F4797F"/>
    <w:rsid w:val="00F538AB"/>
    <w:rsid w:val="00F56AFB"/>
    <w:rsid w:val="00F83774"/>
    <w:rsid w:val="00F86426"/>
    <w:rsid w:val="00FA0676"/>
    <w:rsid w:val="00FA4B60"/>
    <w:rsid w:val="00FB0475"/>
    <w:rsid w:val="00FB47A0"/>
    <w:rsid w:val="00FB7714"/>
    <w:rsid w:val="00FC4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BA570A"/>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A570A"/>
    <w:rPr>
      <w:szCs w:val="24"/>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table" w:styleId="TableGrid">
    <w:name w:val="Table Grid"/>
    <w:basedOn w:val="TableNormal"/>
    <w:uiPriority w:val="59"/>
    <w:rsid w:val="00356F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627F3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80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yperlink" Target="http://indico.cern.ch/getFile.py/access?contribId=12&amp;sessionId=5&amp;resId=2&amp;materialId=slides&amp;confId=20082"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emf"/><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459F-96BA-4CAA-AF59-3D5FAF87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3499</Words>
  <Characters>19621</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Luminosity optimization and leveling</vt:lpstr>
      <vt:lpstr>    Introduction</vt:lpstr>
      <vt:lpstr>    Operations efficiency</vt:lpstr>
      <vt:lpstr>    Why Luminosity levelling in sLHC?</vt:lpstr>
      <vt:lpstr>    Methods of luminosity levelling</vt:lpstr>
      <vt:lpstr>        Levelling via (*</vt:lpstr>
      <vt:lpstr>        Levelling via the crossing angle (c</vt:lpstr>
      <vt:lpstr>        Levelling via the bunch length (s</vt:lpstr>
      <vt:lpstr>    Beam-beam compensation</vt:lpstr>
      <vt:lpstr>        Motivations</vt:lpstr>
      <vt:lpstr>    ///</vt:lpstr>
      <vt:lpstr>        Long-range beam-beam compensation</vt:lpstr>
      <vt:lpstr>        Other possible approaches</vt:lpstr>
      <vt:lpstr>    /Conclusions</vt:lpstr>
      <vt:lpstr>    Questions &amp; answers</vt:lpstr>
      <vt:lpstr>    Acknowledgments</vt:lpstr>
      <vt:lpstr>    References</vt:lpstr>
    </vt:vector>
  </TitlesOfParts>
  <Company/>
  <LinksUpToDate>false</LinksUpToDate>
  <CharactersWithSpaces>23074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jpk</dc:creator>
  <cp:lastModifiedBy>jpk</cp:lastModifiedBy>
  <cp:revision>7</cp:revision>
  <cp:lastPrinted>2010-02-19T10:29:00Z</cp:lastPrinted>
  <dcterms:created xsi:type="dcterms:W3CDTF">2010-02-19T10:22:00Z</dcterms:created>
  <dcterms:modified xsi:type="dcterms:W3CDTF">2010-02-22T08:37:00Z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