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1B901" w14:textId="5B26DE42" w:rsidR="00B307F3" w:rsidRDefault="00B307F3" w:rsidP="00B307F3">
      <w:pPr>
        <w:jc w:val="center"/>
        <w:rPr>
          <w:rFonts w:asciiTheme="majorHAnsi" w:eastAsiaTheme="majorEastAsia" w:hAnsiTheme="majorHAnsi" w:cstheme="majorBidi"/>
          <w:spacing w:val="-10"/>
          <w:kern w:val="28"/>
          <w:sz w:val="56"/>
          <w:szCs w:val="56"/>
        </w:rPr>
      </w:pPr>
      <w:r w:rsidRPr="00A913F0">
        <w:rPr>
          <w:rFonts w:asciiTheme="majorHAnsi" w:eastAsiaTheme="majorEastAsia" w:hAnsiTheme="majorHAnsi" w:cstheme="majorBidi"/>
          <w:spacing w:val="-10"/>
          <w:kern w:val="28"/>
          <w:sz w:val="56"/>
          <w:szCs w:val="56"/>
        </w:rPr>
        <w:t>Supporting document</w:t>
      </w:r>
    </w:p>
    <w:p w14:paraId="79A34143" w14:textId="77777777" w:rsidR="00B307F3" w:rsidRDefault="00B307F3" w:rsidP="00B307F3">
      <w:pPr>
        <w:jc w:val="center"/>
        <w:rPr>
          <w:rFonts w:asciiTheme="majorHAnsi" w:eastAsiaTheme="majorEastAsia" w:hAnsiTheme="majorHAnsi" w:cstheme="majorBidi"/>
          <w:spacing w:val="-10"/>
          <w:kern w:val="28"/>
          <w:sz w:val="56"/>
          <w:szCs w:val="56"/>
        </w:rPr>
      </w:pPr>
      <w:r>
        <w:rPr>
          <w:rFonts w:asciiTheme="majorHAnsi" w:eastAsiaTheme="majorEastAsia" w:hAnsiTheme="majorHAnsi" w:cstheme="majorBidi"/>
          <w:noProof/>
          <w:spacing w:val="-10"/>
          <w:kern w:val="28"/>
          <w:sz w:val="56"/>
          <w:szCs w:val="56"/>
        </w:rPr>
        <w:drawing>
          <wp:inline distT="0" distB="0" distL="0" distR="0" wp14:anchorId="4EE788E6" wp14:editId="237BC7A2">
            <wp:extent cx="5760720" cy="4440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440555"/>
                    </a:xfrm>
                    <a:prstGeom prst="rect">
                      <a:avLst/>
                    </a:prstGeom>
                    <a:noFill/>
                    <a:ln>
                      <a:noFill/>
                    </a:ln>
                  </pic:spPr>
                </pic:pic>
              </a:graphicData>
            </a:graphic>
          </wp:inline>
        </w:drawing>
      </w:r>
    </w:p>
    <w:p w14:paraId="070BA8BF" w14:textId="16B7DAE1" w:rsidR="00B307F3" w:rsidRDefault="00B307F3" w:rsidP="00B307F3">
      <w:pPr>
        <w:jc w:val="both"/>
      </w:pPr>
      <w:r w:rsidRPr="00A913F0">
        <w:t xml:space="preserve">Figure 1. </w:t>
      </w:r>
      <w:r>
        <w:t>Block d</w:t>
      </w:r>
      <w:r w:rsidRPr="00A913F0">
        <w:t xml:space="preserve">iagram of </w:t>
      </w:r>
      <w:proofErr w:type="spellStart"/>
      <w:r w:rsidRPr="00A913F0">
        <w:t>QTRx</w:t>
      </w:r>
      <w:proofErr w:type="spellEnd"/>
      <w:r>
        <w:t xml:space="preserve">. The high-speed differential electrical signals are AC coupled. </w:t>
      </w:r>
      <w:r w:rsidRPr="00BA25C6">
        <w:t xml:space="preserve">The electrical </w:t>
      </w:r>
      <w:r>
        <w:t>interface</w:t>
      </w:r>
      <w:r w:rsidRPr="00BA25C6">
        <w:t xml:space="preserve"> </w:t>
      </w:r>
      <w:r>
        <w:t>is a</w:t>
      </w:r>
      <w:r w:rsidRPr="00BA25C6">
        <w:t xml:space="preserve"> 40-pin Hirose</w:t>
      </w:r>
      <w:r>
        <w:t xml:space="preserve"> connector with </w:t>
      </w:r>
      <w:r w:rsidR="00243EBA">
        <w:t xml:space="preserve">a </w:t>
      </w:r>
      <w:r>
        <w:t>4 mm stacking height</w:t>
      </w:r>
      <w:r w:rsidRPr="00BA25C6">
        <w:t>.</w:t>
      </w:r>
      <w:r>
        <w:t xml:space="preserve"> The </w:t>
      </w:r>
      <w:r w:rsidRPr="00BA25C6">
        <w:t xml:space="preserve">VCSEL and PD </w:t>
      </w:r>
      <w:r>
        <w:t xml:space="preserve">arrays </w:t>
      </w:r>
      <w:r w:rsidRPr="00BA25C6">
        <w:t xml:space="preserve">are directly </w:t>
      </w:r>
      <w:r w:rsidR="00243EBA">
        <w:t>wire-</w:t>
      </w:r>
      <w:r>
        <w:t>bond</w:t>
      </w:r>
      <w:r w:rsidRPr="00BA25C6">
        <w:t xml:space="preserve">ed to </w:t>
      </w:r>
      <w:r>
        <w:t>QLDD</w:t>
      </w:r>
      <w:r w:rsidRPr="00BA25C6">
        <w:t xml:space="preserve"> </w:t>
      </w:r>
      <w:r>
        <w:t>and</w:t>
      </w:r>
      <w:r w:rsidRPr="00BA25C6">
        <w:t xml:space="preserve"> </w:t>
      </w:r>
      <w:r>
        <w:t>QTIA, respectively.</w:t>
      </w:r>
      <w:r w:rsidRPr="00BA25C6">
        <w:t xml:space="preserve"> The optical signal is </w:t>
      </w:r>
      <w:r>
        <w:t>coupled by an MT connector</w:t>
      </w:r>
      <w:r w:rsidRPr="00BA25C6">
        <w:t>.</w:t>
      </w:r>
    </w:p>
    <w:p w14:paraId="65554F2C" w14:textId="77777777" w:rsidR="00B307F3" w:rsidRDefault="00B307F3" w:rsidP="00B307F3">
      <w:pPr>
        <w:jc w:val="center"/>
      </w:pPr>
      <w:r>
        <w:rPr>
          <w:noProof/>
        </w:rPr>
        <w:lastRenderedPageBreak/>
        <w:drawing>
          <wp:inline distT="0" distB="0" distL="0" distR="0" wp14:anchorId="5EA650CA" wp14:editId="2D764567">
            <wp:extent cx="3840480" cy="556207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5562071"/>
                    </a:xfrm>
                    <a:prstGeom prst="rect">
                      <a:avLst/>
                    </a:prstGeom>
                    <a:noFill/>
                    <a:ln>
                      <a:noFill/>
                    </a:ln>
                  </pic:spPr>
                </pic:pic>
              </a:graphicData>
            </a:graphic>
          </wp:inline>
        </w:drawing>
      </w:r>
    </w:p>
    <w:p w14:paraId="14CB3623" w14:textId="77777777" w:rsidR="00B307F3" w:rsidRDefault="00B307F3" w:rsidP="00B307F3">
      <w:pPr>
        <w:tabs>
          <w:tab w:val="center" w:pos="4680"/>
          <w:tab w:val="left" w:pos="6690"/>
        </w:tabs>
        <w:jc w:val="both"/>
      </w:pPr>
      <w:r>
        <w:tab/>
        <w:t xml:space="preserve">Figure 2. Bonding diagram of </w:t>
      </w:r>
      <w:proofErr w:type="spellStart"/>
      <w:r>
        <w:t>QTRx</w:t>
      </w:r>
      <w:proofErr w:type="spellEnd"/>
      <w:r>
        <w:t xml:space="preserve">. </w:t>
      </w:r>
      <w:r>
        <w:rPr>
          <w:rFonts w:hint="eastAsia"/>
        </w:rPr>
        <w:t>The</w:t>
      </w:r>
      <w:r>
        <w:t xml:space="preserve"> side pads of QLDD and QTIA are symmetrical, enabling an 8-Tx or 8-Rx configuration. One side wire bonding provides the control signals and the sufficient current. QLDD and QTIA share the same I2C bus with differing I2C addresses.  </w:t>
      </w:r>
    </w:p>
    <w:p w14:paraId="52E88673" w14:textId="77777777" w:rsidR="00B307F3" w:rsidRDefault="00B307F3" w:rsidP="00B307F3">
      <w:pPr>
        <w:tabs>
          <w:tab w:val="center" w:pos="4680"/>
          <w:tab w:val="left" w:pos="6690"/>
        </w:tabs>
        <w:jc w:val="both"/>
      </w:pPr>
      <w:r>
        <w:t xml:space="preserve">      </w:t>
      </w:r>
    </w:p>
    <w:p w14:paraId="3D7ACA49" w14:textId="77777777" w:rsidR="00B307F3" w:rsidRDefault="00B307F3" w:rsidP="00B307F3">
      <w:pPr>
        <w:tabs>
          <w:tab w:val="center" w:pos="4680"/>
          <w:tab w:val="left" w:pos="6690"/>
        </w:tabs>
        <w:jc w:val="both"/>
      </w:pPr>
    </w:p>
    <w:p w14:paraId="2AAF2A90" w14:textId="77777777" w:rsidR="00B307F3" w:rsidRDefault="00B307F3" w:rsidP="00B307F3">
      <w:pPr>
        <w:jc w:val="center"/>
      </w:pPr>
      <w:r>
        <w:rPr>
          <w:noProof/>
        </w:rPr>
        <w:lastRenderedPageBreak/>
        <w:drawing>
          <wp:inline distT="0" distB="0" distL="0" distR="0" wp14:anchorId="2D51491A" wp14:editId="226E2544">
            <wp:extent cx="2743200" cy="1393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200" cy="1393285"/>
                    </a:xfrm>
                    <a:prstGeom prst="rect">
                      <a:avLst/>
                    </a:prstGeom>
                  </pic:spPr>
                </pic:pic>
              </a:graphicData>
            </a:graphic>
          </wp:inline>
        </w:drawing>
      </w:r>
      <w:r>
        <w:t xml:space="preserve">                      </w:t>
      </w:r>
      <w:r>
        <w:rPr>
          <w:noProof/>
        </w:rPr>
        <w:drawing>
          <wp:inline distT="0" distB="0" distL="0" distR="0" wp14:anchorId="76986BBB" wp14:editId="5069D074">
            <wp:extent cx="1554480" cy="2037151"/>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4480" cy="2037151"/>
                    </a:xfrm>
                    <a:prstGeom prst="rect">
                      <a:avLst/>
                    </a:prstGeom>
                    <a:noFill/>
                    <a:ln>
                      <a:noFill/>
                    </a:ln>
                  </pic:spPr>
                </pic:pic>
              </a:graphicData>
            </a:graphic>
          </wp:inline>
        </w:drawing>
      </w:r>
    </w:p>
    <w:p w14:paraId="1D009A33" w14:textId="77777777" w:rsidR="00B307F3" w:rsidRDefault="00B307F3" w:rsidP="00B307F3">
      <w:pPr>
        <w:ind w:left="360"/>
        <w:jc w:val="center"/>
      </w:pPr>
      <w:r>
        <w:t xml:space="preserve">           (a)                                                                                       </w:t>
      </w:r>
      <w:proofErr w:type="gramStart"/>
      <w:r>
        <w:t xml:space="preserve">   (</w:t>
      </w:r>
      <w:proofErr w:type="gramEnd"/>
      <w:r>
        <w:t>b)</w:t>
      </w:r>
    </w:p>
    <w:p w14:paraId="3B285FBC" w14:textId="09688DEE" w:rsidR="00B307F3" w:rsidRDefault="00B307F3" w:rsidP="00B307F3">
      <w:pPr>
        <w:jc w:val="both"/>
      </w:pPr>
      <w:r>
        <w:rPr>
          <w:rFonts w:hint="eastAsia"/>
        </w:rPr>
        <w:t>F</w:t>
      </w:r>
      <w:r>
        <w:t xml:space="preserve">igure 3. 3D view of </w:t>
      </w:r>
      <w:proofErr w:type="spellStart"/>
      <w:r>
        <w:t>QTRx</w:t>
      </w:r>
      <w:proofErr w:type="spellEnd"/>
      <w:r>
        <w:t xml:space="preserve"> (a) and photograph of a </w:t>
      </w:r>
      <w:proofErr w:type="spellStart"/>
      <w:r>
        <w:t>QTRx</w:t>
      </w:r>
      <w:proofErr w:type="spellEnd"/>
      <w:r>
        <w:t xml:space="preserve"> compared with a US quarter dollar coin (b). All components are located on one side of the module PCB. QLDD, QTIA, VCSEL array and PIN array are covered by the lens. Four ground pins around the lens are used to anchor </w:t>
      </w:r>
      <w:proofErr w:type="spellStart"/>
      <w:r>
        <w:rPr>
          <w:rFonts w:hint="eastAsia"/>
        </w:rPr>
        <w:t>QTRx</w:t>
      </w:r>
      <w:proofErr w:type="spellEnd"/>
      <w:r>
        <w:t xml:space="preserve"> on the motherboard. The profile of </w:t>
      </w:r>
      <w:r w:rsidR="00243EBA">
        <w:t xml:space="preserve">the </w:t>
      </w:r>
      <w:proofErr w:type="spellStart"/>
      <w:r>
        <w:t>QTRx</w:t>
      </w:r>
      <w:proofErr w:type="spellEnd"/>
      <w:r>
        <w:t xml:space="preserve"> module </w:t>
      </w:r>
      <w:r w:rsidRPr="0025434A">
        <w:t>is 20 mm (L) × 10 mm (W) × 5 mm (H).</w:t>
      </w:r>
    </w:p>
    <w:p w14:paraId="16ED7489" w14:textId="77777777" w:rsidR="00B307F3" w:rsidRDefault="00B307F3" w:rsidP="00B307F3">
      <w:r>
        <w:t xml:space="preserve">  </w:t>
      </w:r>
      <w:r>
        <w:rPr>
          <w:noProof/>
        </w:rPr>
        <w:drawing>
          <wp:inline distT="0" distB="0" distL="0" distR="0" wp14:anchorId="066EE529" wp14:editId="675A0266">
            <wp:extent cx="5486400" cy="363705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37050"/>
                    </a:xfrm>
                    <a:prstGeom prst="rect">
                      <a:avLst/>
                    </a:prstGeom>
                    <a:noFill/>
                    <a:ln>
                      <a:noFill/>
                    </a:ln>
                  </pic:spPr>
                </pic:pic>
              </a:graphicData>
            </a:graphic>
          </wp:inline>
        </w:drawing>
      </w:r>
    </w:p>
    <w:p w14:paraId="2E9C58F4" w14:textId="0B198DB9" w:rsidR="00B307F3" w:rsidRDefault="00B307F3" w:rsidP="00B307F3">
      <w:pPr>
        <w:jc w:val="center"/>
      </w:pPr>
      <w:r>
        <w:t xml:space="preserve">Figure 4. Photograph of a </w:t>
      </w:r>
      <w:proofErr w:type="spellStart"/>
      <w:r>
        <w:t>QTRx</w:t>
      </w:r>
      <w:proofErr w:type="spellEnd"/>
      <w:r>
        <w:t xml:space="preserve"> mounted on the </w:t>
      </w:r>
      <w:bookmarkStart w:id="0" w:name="_GoBack"/>
      <w:r>
        <w:t>motherboard</w:t>
      </w:r>
      <w:bookmarkEnd w:id="0"/>
      <w:r>
        <w:t xml:space="preserve">. </w:t>
      </w:r>
    </w:p>
    <w:p w14:paraId="3F0D506C" w14:textId="77777777" w:rsidR="00B307F3" w:rsidRDefault="00B307F3" w:rsidP="00B307F3">
      <w:pPr>
        <w:jc w:val="center"/>
      </w:pPr>
      <w:r>
        <w:rPr>
          <w:noProof/>
        </w:rPr>
        <w:lastRenderedPageBreak/>
        <w:drawing>
          <wp:inline distT="0" distB="0" distL="0" distR="0" wp14:anchorId="031AFF37" wp14:editId="3DBD93A2">
            <wp:extent cx="5486400" cy="2822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822330"/>
                    </a:xfrm>
                    <a:prstGeom prst="rect">
                      <a:avLst/>
                    </a:prstGeom>
                    <a:noFill/>
                    <a:ln>
                      <a:noFill/>
                    </a:ln>
                  </pic:spPr>
                </pic:pic>
              </a:graphicData>
            </a:graphic>
          </wp:inline>
        </w:drawing>
      </w:r>
    </w:p>
    <w:p w14:paraId="7CD31985" w14:textId="77777777" w:rsidR="00B307F3" w:rsidRDefault="00B307F3" w:rsidP="00B307F3">
      <w:pPr>
        <w:jc w:val="center"/>
      </w:pPr>
      <w:r>
        <w:t xml:space="preserve">Figure 5. Photograph of the </w:t>
      </w:r>
      <w:proofErr w:type="spellStart"/>
      <w:r>
        <w:t>QTRx</w:t>
      </w:r>
      <w:proofErr w:type="spellEnd"/>
      <w:r>
        <w:t xml:space="preserve"> test setup. </w:t>
      </w:r>
    </w:p>
    <w:p w14:paraId="4986FECC" w14:textId="77777777" w:rsidR="00B307F3" w:rsidRDefault="00B307F3" w:rsidP="00B307F3">
      <w:pPr>
        <w:jc w:val="center"/>
      </w:pPr>
      <w:r w:rsidRPr="00B925B0">
        <w:rPr>
          <w:noProof/>
        </w:rPr>
        <w:drawing>
          <wp:inline distT="0" distB="0" distL="0" distR="0" wp14:anchorId="2CD57F9A" wp14:editId="158D07F2">
            <wp:extent cx="5486400" cy="4114800"/>
            <wp:effectExtent l="0" t="0" r="0" b="0"/>
            <wp:docPr id="13" name="Picture 12">
              <a:extLst xmlns:a="http://schemas.openxmlformats.org/drawingml/2006/main">
                <a:ext uri="{FF2B5EF4-FFF2-40B4-BE49-F238E27FC236}">
                  <a16:creationId xmlns:a16="http://schemas.microsoft.com/office/drawing/2014/main" id="{360B00EE-7DDD-4C84-9703-4DACA4CE0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60B00EE-7DDD-4C84-9703-4DACA4CE080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AE9BF22" w14:textId="77777777" w:rsidR="00B307F3" w:rsidRDefault="00B307F3" w:rsidP="00B307F3">
      <w:pPr>
        <w:jc w:val="center"/>
      </w:pPr>
      <w:r>
        <w:t xml:space="preserve">Figure 6. Eye diagram of a </w:t>
      </w:r>
      <w:proofErr w:type="spellStart"/>
      <w:r>
        <w:t>QTRx</w:t>
      </w:r>
      <w:proofErr w:type="spellEnd"/>
      <w:r>
        <w:t xml:space="preserve"> transmitter channel at 10 Gbps.</w:t>
      </w:r>
    </w:p>
    <w:p w14:paraId="0383B10A" w14:textId="77777777" w:rsidR="00B307F3" w:rsidRDefault="00B307F3" w:rsidP="00B307F3">
      <w:pPr>
        <w:jc w:val="center"/>
      </w:pPr>
      <w:r>
        <w:rPr>
          <w:noProof/>
        </w:rPr>
        <w:lastRenderedPageBreak/>
        <w:drawing>
          <wp:inline distT="0" distB="0" distL="0" distR="0" wp14:anchorId="33899F9A" wp14:editId="3A6210D0">
            <wp:extent cx="4937760" cy="3703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3703320"/>
                    </a:xfrm>
                    <a:prstGeom prst="rect">
                      <a:avLst/>
                    </a:prstGeom>
                    <a:noFill/>
                    <a:ln>
                      <a:noFill/>
                    </a:ln>
                  </pic:spPr>
                </pic:pic>
              </a:graphicData>
            </a:graphic>
          </wp:inline>
        </w:drawing>
      </w:r>
    </w:p>
    <w:p w14:paraId="6E2B6C06" w14:textId="4BD819B0" w:rsidR="00B307F3" w:rsidRDefault="00B307F3" w:rsidP="00B307F3">
      <w:pPr>
        <w:jc w:val="center"/>
      </w:pPr>
      <w:r>
        <w:t xml:space="preserve">Figure </w:t>
      </w:r>
      <w:r w:rsidR="0098043D">
        <w:t>7</w:t>
      </w:r>
      <w:r>
        <w:t xml:space="preserve">. Eye diagram of a </w:t>
      </w:r>
      <w:proofErr w:type="spellStart"/>
      <w:r>
        <w:t>QTRx</w:t>
      </w:r>
      <w:proofErr w:type="spellEnd"/>
      <w:r>
        <w:t xml:space="preserve"> receiver channel at 2.56 Gbps</w:t>
      </w:r>
    </w:p>
    <w:p w14:paraId="12DC2682" w14:textId="77777777" w:rsidR="00B307F3" w:rsidRDefault="00B307F3" w:rsidP="00B307F3">
      <w:pPr>
        <w:jc w:val="center"/>
      </w:pPr>
      <w:r>
        <w:rPr>
          <w:noProof/>
        </w:rPr>
        <w:drawing>
          <wp:inline distT="0" distB="0" distL="0" distR="0" wp14:anchorId="7BC34420" wp14:editId="2CB863D8">
            <wp:extent cx="4937760" cy="3703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7760" cy="3703320"/>
                    </a:xfrm>
                    <a:prstGeom prst="rect">
                      <a:avLst/>
                    </a:prstGeom>
                    <a:noFill/>
                    <a:ln>
                      <a:noFill/>
                    </a:ln>
                  </pic:spPr>
                </pic:pic>
              </a:graphicData>
            </a:graphic>
          </wp:inline>
        </w:drawing>
      </w:r>
    </w:p>
    <w:p w14:paraId="2C751C21" w14:textId="3E669BC2" w:rsidR="00A913F0" w:rsidRPr="0033127C" w:rsidRDefault="00B307F3" w:rsidP="0033127C">
      <w:pPr>
        <w:jc w:val="center"/>
      </w:pPr>
      <w:r>
        <w:t xml:space="preserve">Figure </w:t>
      </w:r>
      <w:r w:rsidR="0098043D">
        <w:t>8</w:t>
      </w:r>
      <w:r>
        <w:t xml:space="preserve">. Eye diagram of a </w:t>
      </w:r>
      <w:proofErr w:type="spellStart"/>
      <w:r>
        <w:t>QTRx</w:t>
      </w:r>
      <w:proofErr w:type="spellEnd"/>
      <w:r>
        <w:t xml:space="preserve"> receiver channel at 10 Gbps</w:t>
      </w:r>
    </w:p>
    <w:sectPr w:rsidR="00A913F0" w:rsidRPr="0033127C">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8050C" w16cex:dateUtc="2021-05-14T01:05:00Z"/>
  <w16cex:commentExtensible w16cex:durableId="244806B7" w16cex:dateUtc="2021-05-14T01:12: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FA7CA0"/>
    <w:multiLevelType w:val="hybridMultilevel"/>
    <w:tmpl w:val="B1DE3450"/>
    <w:lvl w:ilvl="0" w:tplc="1CEE4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475281"/>
    <w:multiLevelType w:val="hybridMultilevel"/>
    <w:tmpl w:val="B55E6F00"/>
    <w:lvl w:ilvl="0" w:tplc="E6BC4F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xtzQxMLSwsLS0MDNW0lEKTi0uzszPAykwrAUAvnMB2ywAAAA="/>
  </w:docVars>
  <w:rsids>
    <w:rsidRoot w:val="00415B21"/>
    <w:rsid w:val="000204A6"/>
    <w:rsid w:val="000345EA"/>
    <w:rsid w:val="00046CE6"/>
    <w:rsid w:val="00051EF3"/>
    <w:rsid w:val="00067837"/>
    <w:rsid w:val="00073D02"/>
    <w:rsid w:val="00083C86"/>
    <w:rsid w:val="00097FF9"/>
    <w:rsid w:val="000A02FB"/>
    <w:rsid w:val="000B1A89"/>
    <w:rsid w:val="000B1C39"/>
    <w:rsid w:val="000B74A3"/>
    <w:rsid w:val="000D4EFA"/>
    <w:rsid w:val="00113F7F"/>
    <w:rsid w:val="0015306E"/>
    <w:rsid w:val="00156128"/>
    <w:rsid w:val="00175B52"/>
    <w:rsid w:val="0019050F"/>
    <w:rsid w:val="001D5F47"/>
    <w:rsid w:val="001D7231"/>
    <w:rsid w:val="00200DE5"/>
    <w:rsid w:val="0024303F"/>
    <w:rsid w:val="002434A0"/>
    <w:rsid w:val="00243EBA"/>
    <w:rsid w:val="002465F9"/>
    <w:rsid w:val="0025434A"/>
    <w:rsid w:val="00291E42"/>
    <w:rsid w:val="0029528F"/>
    <w:rsid w:val="002A0157"/>
    <w:rsid w:val="002A196C"/>
    <w:rsid w:val="002E6B6D"/>
    <w:rsid w:val="003210DA"/>
    <w:rsid w:val="00326724"/>
    <w:rsid w:val="0033127C"/>
    <w:rsid w:val="003651FD"/>
    <w:rsid w:val="003660EF"/>
    <w:rsid w:val="00373A8D"/>
    <w:rsid w:val="003760ED"/>
    <w:rsid w:val="00415B21"/>
    <w:rsid w:val="00472DBF"/>
    <w:rsid w:val="00491B81"/>
    <w:rsid w:val="004C5921"/>
    <w:rsid w:val="004F5758"/>
    <w:rsid w:val="004F5C21"/>
    <w:rsid w:val="005071E5"/>
    <w:rsid w:val="005A7CBE"/>
    <w:rsid w:val="005E587C"/>
    <w:rsid w:val="005F1EDE"/>
    <w:rsid w:val="005F4F29"/>
    <w:rsid w:val="00614479"/>
    <w:rsid w:val="006537CA"/>
    <w:rsid w:val="00657D13"/>
    <w:rsid w:val="00670F20"/>
    <w:rsid w:val="006C42D6"/>
    <w:rsid w:val="006D61B8"/>
    <w:rsid w:val="006E70D4"/>
    <w:rsid w:val="006F2A4A"/>
    <w:rsid w:val="006F7A75"/>
    <w:rsid w:val="00721AA8"/>
    <w:rsid w:val="007B0803"/>
    <w:rsid w:val="007B30E3"/>
    <w:rsid w:val="007F6A22"/>
    <w:rsid w:val="008009AC"/>
    <w:rsid w:val="00801DCD"/>
    <w:rsid w:val="00822772"/>
    <w:rsid w:val="00825602"/>
    <w:rsid w:val="00875194"/>
    <w:rsid w:val="008A740E"/>
    <w:rsid w:val="008C5A82"/>
    <w:rsid w:val="008D3D6E"/>
    <w:rsid w:val="008F2666"/>
    <w:rsid w:val="009004BE"/>
    <w:rsid w:val="00926647"/>
    <w:rsid w:val="0094786E"/>
    <w:rsid w:val="0096200C"/>
    <w:rsid w:val="0097218E"/>
    <w:rsid w:val="0098043D"/>
    <w:rsid w:val="00995AD4"/>
    <w:rsid w:val="009B3571"/>
    <w:rsid w:val="009C3519"/>
    <w:rsid w:val="00A756CE"/>
    <w:rsid w:val="00A913F0"/>
    <w:rsid w:val="00A956D2"/>
    <w:rsid w:val="00A96EF5"/>
    <w:rsid w:val="00A977E0"/>
    <w:rsid w:val="00AC7E3C"/>
    <w:rsid w:val="00AD337C"/>
    <w:rsid w:val="00AD5523"/>
    <w:rsid w:val="00AE2611"/>
    <w:rsid w:val="00AE26EE"/>
    <w:rsid w:val="00B17DF6"/>
    <w:rsid w:val="00B307F3"/>
    <w:rsid w:val="00B679BD"/>
    <w:rsid w:val="00B7714F"/>
    <w:rsid w:val="00B80CA4"/>
    <w:rsid w:val="00B84B2A"/>
    <w:rsid w:val="00B925B0"/>
    <w:rsid w:val="00BA25C6"/>
    <w:rsid w:val="00BB560F"/>
    <w:rsid w:val="00BC00AC"/>
    <w:rsid w:val="00BD782E"/>
    <w:rsid w:val="00BF4D15"/>
    <w:rsid w:val="00C04A3B"/>
    <w:rsid w:val="00C10C97"/>
    <w:rsid w:val="00C345CF"/>
    <w:rsid w:val="00CA4466"/>
    <w:rsid w:val="00CE25FD"/>
    <w:rsid w:val="00D37119"/>
    <w:rsid w:val="00D458E5"/>
    <w:rsid w:val="00D459EE"/>
    <w:rsid w:val="00D7215D"/>
    <w:rsid w:val="00D84B1E"/>
    <w:rsid w:val="00DA5713"/>
    <w:rsid w:val="00DA7D77"/>
    <w:rsid w:val="00DB63E6"/>
    <w:rsid w:val="00DE1DA2"/>
    <w:rsid w:val="00DF5873"/>
    <w:rsid w:val="00DF7B48"/>
    <w:rsid w:val="00E24C7D"/>
    <w:rsid w:val="00E326BC"/>
    <w:rsid w:val="00E33050"/>
    <w:rsid w:val="00E5645B"/>
    <w:rsid w:val="00E61A65"/>
    <w:rsid w:val="00E84255"/>
    <w:rsid w:val="00E933E2"/>
    <w:rsid w:val="00ED5BB7"/>
    <w:rsid w:val="00F27FFD"/>
    <w:rsid w:val="00F34D52"/>
    <w:rsid w:val="00F60664"/>
    <w:rsid w:val="00F74FCA"/>
    <w:rsid w:val="00F92843"/>
    <w:rsid w:val="00FC4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A91B3"/>
  <w15:chartTrackingRefBased/>
  <w15:docId w15:val="{DC800B1A-894C-486B-834E-958823CBB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15B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5B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5B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B2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15B2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15B2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875194"/>
    <w:rPr>
      <w:color w:val="0563C1" w:themeColor="hyperlink"/>
      <w:u w:val="single"/>
    </w:rPr>
  </w:style>
  <w:style w:type="character" w:customStyle="1" w:styleId="UnresolvedMention1">
    <w:name w:val="Unresolved Mention1"/>
    <w:basedOn w:val="DefaultParagraphFont"/>
    <w:uiPriority w:val="99"/>
    <w:semiHidden/>
    <w:unhideWhenUsed/>
    <w:rsid w:val="00875194"/>
    <w:rPr>
      <w:color w:val="605E5C"/>
      <w:shd w:val="clear" w:color="auto" w:fill="E1DFDD"/>
    </w:rPr>
  </w:style>
  <w:style w:type="paragraph" w:styleId="ListParagraph">
    <w:name w:val="List Paragraph"/>
    <w:basedOn w:val="Normal"/>
    <w:uiPriority w:val="34"/>
    <w:qFormat/>
    <w:rsid w:val="0029528F"/>
    <w:pPr>
      <w:ind w:left="720"/>
      <w:contextualSpacing/>
    </w:pPr>
  </w:style>
  <w:style w:type="character" w:styleId="CommentReference">
    <w:name w:val="annotation reference"/>
    <w:basedOn w:val="DefaultParagraphFont"/>
    <w:uiPriority w:val="99"/>
    <w:semiHidden/>
    <w:unhideWhenUsed/>
    <w:rsid w:val="005071E5"/>
    <w:rPr>
      <w:sz w:val="16"/>
      <w:szCs w:val="16"/>
    </w:rPr>
  </w:style>
  <w:style w:type="paragraph" w:styleId="CommentText">
    <w:name w:val="annotation text"/>
    <w:basedOn w:val="Normal"/>
    <w:link w:val="CommentTextChar"/>
    <w:uiPriority w:val="99"/>
    <w:semiHidden/>
    <w:unhideWhenUsed/>
    <w:rsid w:val="005071E5"/>
    <w:pPr>
      <w:spacing w:line="240" w:lineRule="auto"/>
    </w:pPr>
    <w:rPr>
      <w:sz w:val="20"/>
      <w:szCs w:val="20"/>
    </w:rPr>
  </w:style>
  <w:style w:type="character" w:customStyle="1" w:styleId="CommentTextChar">
    <w:name w:val="Comment Text Char"/>
    <w:basedOn w:val="DefaultParagraphFont"/>
    <w:link w:val="CommentText"/>
    <w:uiPriority w:val="99"/>
    <w:semiHidden/>
    <w:rsid w:val="005071E5"/>
    <w:rPr>
      <w:sz w:val="20"/>
      <w:szCs w:val="20"/>
    </w:rPr>
  </w:style>
  <w:style w:type="paragraph" w:styleId="CommentSubject">
    <w:name w:val="annotation subject"/>
    <w:basedOn w:val="CommentText"/>
    <w:next w:val="CommentText"/>
    <w:link w:val="CommentSubjectChar"/>
    <w:uiPriority w:val="99"/>
    <w:semiHidden/>
    <w:unhideWhenUsed/>
    <w:rsid w:val="005071E5"/>
    <w:rPr>
      <w:b/>
      <w:bCs/>
    </w:rPr>
  </w:style>
  <w:style w:type="character" w:customStyle="1" w:styleId="CommentSubjectChar">
    <w:name w:val="Comment Subject Char"/>
    <w:basedOn w:val="CommentTextChar"/>
    <w:link w:val="CommentSubject"/>
    <w:uiPriority w:val="99"/>
    <w:semiHidden/>
    <w:rsid w:val="005071E5"/>
    <w:rPr>
      <w:b/>
      <w:bCs/>
      <w:sz w:val="20"/>
      <w:szCs w:val="20"/>
    </w:rPr>
  </w:style>
  <w:style w:type="paragraph" w:styleId="BalloonText">
    <w:name w:val="Balloon Text"/>
    <w:basedOn w:val="Normal"/>
    <w:link w:val="BalloonTextChar"/>
    <w:uiPriority w:val="99"/>
    <w:semiHidden/>
    <w:unhideWhenUsed/>
    <w:rsid w:val="00947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8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68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E1895-E0E3-4A2B-8223-165C765AF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TotalTime>
  <Pages>1</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Xing</dc:creator>
  <cp:keywords/>
  <dc:description/>
  <cp:lastModifiedBy>Huang, Xing</cp:lastModifiedBy>
  <cp:revision>99</cp:revision>
  <dcterms:created xsi:type="dcterms:W3CDTF">2021-05-05T20:58:00Z</dcterms:created>
  <dcterms:modified xsi:type="dcterms:W3CDTF">2021-05-14T15:58:00Z</dcterms:modified>
</cp:coreProperties>
</file>