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665" w:rsidRDefault="00A32C86" w:rsidP="00165665">
      <w:pPr>
        <w:pStyle w:val="Heading1"/>
      </w:pPr>
      <w:r w:rsidRPr="00A32C86">
        <w:t>Radiation to Electronics: Reality or Fata Morgana?</w:t>
      </w:r>
    </w:p>
    <w:p w:rsidR="00165665" w:rsidRPr="000F0031" w:rsidRDefault="00A32C86" w:rsidP="007E36E9">
      <w:pPr>
        <w:pStyle w:val="AuthorList"/>
        <w:rPr>
          <w:kern w:val="16"/>
        </w:rPr>
        <w:sectPr w:rsidR="00165665" w:rsidRPr="000F0031">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Pr>
          <w:kern w:val="16"/>
        </w:rPr>
        <w:t xml:space="preserve">V. Boccone, </w:t>
      </w:r>
      <w:r w:rsidR="00DD5AAA" w:rsidRPr="00DD5AAA">
        <w:rPr>
          <w:kern w:val="16"/>
          <w:u w:val="single"/>
        </w:rPr>
        <w:t>M. Brugger</w:t>
      </w:r>
      <w:r w:rsidR="00DD5AAA" w:rsidRPr="007E36E9">
        <w:rPr>
          <w:kern w:val="16"/>
        </w:rPr>
        <w:t xml:space="preserve">, </w:t>
      </w:r>
      <w:r>
        <w:rPr>
          <w:kern w:val="16"/>
        </w:rPr>
        <w:t xml:space="preserve">M. Calviani, </w:t>
      </w:r>
      <w:r w:rsidR="00724D53">
        <w:rPr>
          <w:kern w:val="16"/>
        </w:rPr>
        <w:t xml:space="preserve">A. Ferrari, </w:t>
      </w:r>
      <w:r>
        <w:rPr>
          <w:kern w:val="16"/>
        </w:rPr>
        <w:t xml:space="preserve">D. Kramer, </w:t>
      </w:r>
      <w:r w:rsidR="00724D53">
        <w:rPr>
          <w:kern w:val="16"/>
        </w:rPr>
        <w:t xml:space="preserve">R. Losito, </w:t>
      </w:r>
      <w:r>
        <w:rPr>
          <w:kern w:val="16"/>
        </w:rPr>
        <w:t xml:space="preserve">K. </w:t>
      </w:r>
      <w:proofErr w:type="spellStart"/>
      <w:r>
        <w:rPr>
          <w:kern w:val="16"/>
        </w:rPr>
        <w:t>Røed</w:t>
      </w:r>
      <w:proofErr w:type="spellEnd"/>
      <w:r>
        <w:rPr>
          <w:kern w:val="16"/>
        </w:rPr>
        <w:t xml:space="preserve">, </w:t>
      </w:r>
      <w:r w:rsidR="008E1EF4">
        <w:rPr>
          <w:kern w:val="16"/>
        </w:rPr>
        <w:br/>
      </w:r>
      <w:r w:rsidR="00EB5D8A">
        <w:rPr>
          <w:kern w:val="16"/>
        </w:rPr>
        <w:t xml:space="preserve">S. Roesler, </w:t>
      </w:r>
      <w:r>
        <w:rPr>
          <w:kern w:val="16"/>
        </w:rPr>
        <w:t>G. Spiezia, A. Thornton, Y. Thurel</w:t>
      </w:r>
      <w:r w:rsidR="00B86486">
        <w:rPr>
          <w:kern w:val="16"/>
        </w:rPr>
        <w:br/>
      </w:r>
      <w:r>
        <w:rPr>
          <w:kern w:val="16"/>
        </w:rPr>
        <w:t xml:space="preserve">for the </w:t>
      </w:r>
      <w:r w:rsidR="008F5835">
        <w:rPr>
          <w:kern w:val="16"/>
        </w:rPr>
        <w:t>R</w:t>
      </w:r>
      <w:r>
        <w:t>2E Mitigation Project</w:t>
      </w:r>
      <w:r w:rsidR="0065156F">
        <w:t xml:space="preserve">, </w:t>
      </w:r>
      <w:hyperlink r:id="rId8" w:history="1">
        <w:r w:rsidR="00470539" w:rsidRPr="007258D8">
          <w:rPr>
            <w:rStyle w:val="Hyperlink"/>
            <w:kern w:val="16"/>
          </w:rPr>
          <w:t>www.cern.ch/r2e</w:t>
        </w:r>
      </w:hyperlink>
      <w:r w:rsidR="00470539">
        <w:rPr>
          <w:kern w:val="16"/>
        </w:rPr>
        <w:t xml:space="preserve"> </w:t>
      </w:r>
      <w:r w:rsidR="000F0031">
        <w:rPr>
          <w:kern w:val="16"/>
        </w:rPr>
        <w:br/>
      </w:r>
      <w:r w:rsidR="00165665" w:rsidRPr="000F0031">
        <w:rPr>
          <w:kern w:val="16"/>
        </w:rPr>
        <w:t xml:space="preserve">CERN, Geneva, </w:t>
      </w:r>
      <w:r w:rsidR="00165665" w:rsidRPr="000F0031">
        <w:t>Switzerland</w:t>
      </w:r>
      <w:r w:rsidR="00165665" w:rsidRPr="000F0031">
        <w:rPr>
          <w:kern w:val="16"/>
        </w:rPr>
        <w:br/>
      </w:r>
      <w:r w:rsidR="000F0031">
        <w:rPr>
          <w:kern w:val="16"/>
        </w:rPr>
        <w:br/>
      </w:r>
    </w:p>
    <w:p w:rsidR="00165665" w:rsidRDefault="00165665" w:rsidP="00165665">
      <w:pPr>
        <w:pStyle w:val="AbstractTitle"/>
        <w:rPr>
          <w:kern w:val="16"/>
        </w:rPr>
      </w:pPr>
      <w:r>
        <w:rPr>
          <w:kern w:val="16"/>
        </w:rPr>
        <w:lastRenderedPageBreak/>
        <w:t>Abstract</w:t>
      </w:r>
    </w:p>
    <w:p w:rsidR="00165665" w:rsidRDefault="00A32C86" w:rsidP="00724D53">
      <w:pPr>
        <w:pStyle w:val="BodyTextIndent"/>
        <w:rPr>
          <w:kern w:val="16"/>
        </w:rPr>
      </w:pPr>
      <w:r w:rsidRPr="00A32C86">
        <w:rPr>
          <w:kern w:val="16"/>
        </w:rPr>
        <w:t>A first year of successful LHC operation has passed reaching about 50pb</w:t>
      </w:r>
      <w:r w:rsidRPr="00A32C86">
        <w:rPr>
          <w:kern w:val="16"/>
          <w:vertAlign w:val="superscript"/>
        </w:rPr>
        <w:t>-1</w:t>
      </w:r>
      <w:r w:rsidRPr="00A32C86">
        <w:rPr>
          <w:kern w:val="16"/>
        </w:rPr>
        <w:t xml:space="preserve"> of integrated luminosity (1‰ of nominal, 5% of 1fb</w:t>
      </w:r>
      <w:r w:rsidRPr="00A32C86">
        <w:rPr>
          <w:kern w:val="16"/>
          <w:vertAlign w:val="superscript"/>
        </w:rPr>
        <w:t>-1</w:t>
      </w:r>
      <w:r w:rsidRPr="00A32C86">
        <w:rPr>
          <w:kern w:val="16"/>
        </w:rPr>
        <w:t>) and more than 1% of peak luminosity, as well as</w:t>
      </w:r>
      <w:r w:rsidR="0044247F">
        <w:rPr>
          <w:kern w:val="16"/>
        </w:rPr>
        <w:t xml:space="preserve"> a successful ion run. It i</w:t>
      </w:r>
      <w:r w:rsidRPr="00A32C86">
        <w:rPr>
          <w:kern w:val="16"/>
        </w:rPr>
        <w:t xml:space="preserve">s thus time having a first look on the observed radiation levels around LHC critical areas and to compare them to available simulation results. In spite of the still very low integrated intensities and cumulative luminosities, </w:t>
      </w:r>
      <w:r>
        <w:rPr>
          <w:kern w:val="16"/>
        </w:rPr>
        <w:t xml:space="preserve">this paper summarizes </w:t>
      </w:r>
      <w:r w:rsidRPr="00A32C86">
        <w:rPr>
          <w:kern w:val="16"/>
        </w:rPr>
        <w:t xml:space="preserve">the failure rate predictions by </w:t>
      </w:r>
      <w:r w:rsidR="0044247F">
        <w:rPr>
          <w:kern w:val="16"/>
        </w:rPr>
        <w:t xml:space="preserve">evaluating </w:t>
      </w:r>
      <w:r w:rsidRPr="00A32C86">
        <w:rPr>
          <w:kern w:val="16"/>
        </w:rPr>
        <w:t xml:space="preserve">the observed </w:t>
      </w:r>
      <w:r>
        <w:rPr>
          <w:kern w:val="16"/>
        </w:rPr>
        <w:t xml:space="preserve">radiation levels and </w:t>
      </w:r>
      <w:r w:rsidRPr="00A32C86">
        <w:rPr>
          <w:kern w:val="16"/>
        </w:rPr>
        <w:t xml:space="preserve">early </w:t>
      </w:r>
      <w:r>
        <w:rPr>
          <w:kern w:val="16"/>
        </w:rPr>
        <w:t xml:space="preserve">electronics </w:t>
      </w:r>
      <w:r w:rsidRPr="00A32C86">
        <w:rPr>
          <w:kern w:val="16"/>
        </w:rPr>
        <w:t xml:space="preserve">failures, as well as the additional results from 2010 CNRAD </w:t>
      </w:r>
      <w:r>
        <w:rPr>
          <w:kern w:val="16"/>
        </w:rPr>
        <w:t xml:space="preserve">radiation </w:t>
      </w:r>
      <w:r w:rsidRPr="00A32C86">
        <w:rPr>
          <w:kern w:val="16"/>
        </w:rPr>
        <w:t xml:space="preserve">tests. Upcoming possibly in early 2011, electron cloud and scrubbing issues and their impact on radiation levels </w:t>
      </w:r>
      <w:r w:rsidR="0044247F">
        <w:rPr>
          <w:kern w:val="16"/>
        </w:rPr>
        <w:t xml:space="preserve">are </w:t>
      </w:r>
      <w:r w:rsidRPr="00A32C86">
        <w:rPr>
          <w:kern w:val="16"/>
        </w:rPr>
        <w:t xml:space="preserve">also briefly discussed. </w:t>
      </w:r>
      <w:r w:rsidR="0044247F">
        <w:rPr>
          <w:kern w:val="16"/>
        </w:rPr>
        <w:t>Based on this, u</w:t>
      </w:r>
      <w:r w:rsidRPr="00A32C86">
        <w:rPr>
          <w:kern w:val="16"/>
        </w:rPr>
        <w:t xml:space="preserve">pdated predictions for 2011 operation and beyond will be deduced, on the base of the envisaged LHC intensity, energy and luminosity reach. Starting from these estimates, priorities for short-term improvements and beam tests are </w:t>
      </w:r>
      <w:r w:rsidR="0044247F">
        <w:rPr>
          <w:kern w:val="16"/>
        </w:rPr>
        <w:t>presented</w:t>
      </w:r>
      <w:r w:rsidRPr="00A32C86">
        <w:rPr>
          <w:kern w:val="16"/>
        </w:rPr>
        <w:t xml:space="preserve">, as well as a brief overview of upcoming </w:t>
      </w:r>
      <w:r w:rsidR="00724D53">
        <w:rPr>
          <w:kern w:val="16"/>
        </w:rPr>
        <w:t>‘Radiation To Electronics (</w:t>
      </w:r>
      <w:r w:rsidRPr="00A32C86">
        <w:rPr>
          <w:kern w:val="16"/>
        </w:rPr>
        <w:t>R2E</w:t>
      </w:r>
      <w:r w:rsidR="00724D53">
        <w:rPr>
          <w:kern w:val="16"/>
        </w:rPr>
        <w:t>)’</w:t>
      </w:r>
      <w:r w:rsidRPr="00A32C86">
        <w:rPr>
          <w:kern w:val="16"/>
        </w:rPr>
        <w:t xml:space="preserve"> driven mitigation actions.</w:t>
      </w:r>
    </w:p>
    <w:p w:rsidR="00165665" w:rsidRDefault="0014556A" w:rsidP="00165665">
      <w:pPr>
        <w:pStyle w:val="Heading2"/>
        <w:spacing w:before="180"/>
      </w:pPr>
      <w:r>
        <w:t>INTRODUCTION</w:t>
      </w:r>
    </w:p>
    <w:p w:rsidR="0044247F" w:rsidRDefault="008E1EF4" w:rsidP="0044247F">
      <w:pPr>
        <w:pStyle w:val="BodyTextIndent"/>
        <w:rPr>
          <w:kern w:val="16"/>
        </w:rPr>
      </w:pPr>
      <w:r>
        <w:rPr>
          <w:kern w:val="16"/>
        </w:rPr>
        <w:t>As studied and documented in detail over the past years, t</w:t>
      </w:r>
      <w:r w:rsidRPr="008E1EF4">
        <w:rPr>
          <w:kern w:val="16"/>
        </w:rPr>
        <w:t xml:space="preserve">here is a relevant risk of occurrence of radiation damage to electronics </w:t>
      </w:r>
      <w:r>
        <w:rPr>
          <w:kern w:val="16"/>
        </w:rPr>
        <w:t>at the LHC</w:t>
      </w:r>
      <w:r w:rsidRPr="008E1EF4">
        <w:rPr>
          <w:kern w:val="16"/>
        </w:rPr>
        <w:t xml:space="preserve">. A dedicated strategy is required to reduce it to a level that will allow for smooth </w:t>
      </w:r>
      <w:r w:rsidR="00014EA0">
        <w:rPr>
          <w:kern w:val="16"/>
        </w:rPr>
        <w:t xml:space="preserve">LHC </w:t>
      </w:r>
      <w:r w:rsidRPr="008E1EF4">
        <w:rPr>
          <w:kern w:val="16"/>
        </w:rPr>
        <w:t xml:space="preserve">operation and maximum performance. </w:t>
      </w:r>
      <w:r w:rsidR="00014EA0">
        <w:rPr>
          <w:kern w:val="16"/>
        </w:rPr>
        <w:t>M</w:t>
      </w:r>
      <w:r w:rsidR="00E96274">
        <w:rPr>
          <w:kern w:val="16"/>
        </w:rPr>
        <w:t>itigation measures to be performed “in the shadow” of increasing LHC intensity, energy and luminosity require the thorough analysis, optimization and coordination of all related activities</w:t>
      </w:r>
      <w:r w:rsidR="00014EA0">
        <w:rPr>
          <w:kern w:val="16"/>
        </w:rPr>
        <w:t>, the most important</w:t>
      </w:r>
      <w:r w:rsidR="00AD21B5">
        <w:rPr>
          <w:kern w:val="16"/>
        </w:rPr>
        <w:t xml:space="preserve"> being</w:t>
      </w:r>
      <w:r w:rsidR="00E96274">
        <w:rPr>
          <w:kern w:val="16"/>
        </w:rPr>
        <w:t>:</w:t>
      </w:r>
    </w:p>
    <w:p w:rsidR="00E96274" w:rsidRDefault="00E96274" w:rsidP="00E96274">
      <w:pPr>
        <w:pStyle w:val="BodyTextIndent"/>
        <w:numPr>
          <w:ilvl w:val="0"/>
          <w:numId w:val="30"/>
        </w:numPr>
        <w:rPr>
          <w:kern w:val="16"/>
        </w:rPr>
      </w:pPr>
      <w:r>
        <w:rPr>
          <w:kern w:val="16"/>
        </w:rPr>
        <w:t xml:space="preserve">A </w:t>
      </w:r>
      <w:r w:rsidR="00AD21B5">
        <w:rPr>
          <w:kern w:val="16"/>
        </w:rPr>
        <w:t>thorough</w:t>
      </w:r>
      <w:r>
        <w:rPr>
          <w:kern w:val="16"/>
        </w:rPr>
        <w:t xml:space="preserve"> analy</w:t>
      </w:r>
      <w:r w:rsidRPr="00E96274">
        <w:rPr>
          <w:kern w:val="16"/>
        </w:rPr>
        <w:t>s</w:t>
      </w:r>
      <w:r>
        <w:rPr>
          <w:kern w:val="16"/>
        </w:rPr>
        <w:t>is of</w:t>
      </w:r>
      <w:r w:rsidRPr="00E96274">
        <w:rPr>
          <w:kern w:val="16"/>
        </w:rPr>
        <w:t xml:space="preserve"> available moni</w:t>
      </w:r>
      <w:r>
        <w:rPr>
          <w:kern w:val="16"/>
        </w:rPr>
        <w:t xml:space="preserve">toring data and their comparison </w:t>
      </w:r>
      <w:r w:rsidRPr="00E96274">
        <w:rPr>
          <w:kern w:val="16"/>
        </w:rPr>
        <w:t>with expected radiation levels, based on detailed simulation results</w:t>
      </w:r>
      <w:r w:rsidR="00014EA0">
        <w:rPr>
          <w:kern w:val="16"/>
        </w:rPr>
        <w:t xml:space="preserve"> and taking into account </w:t>
      </w:r>
      <w:r w:rsidRPr="00E96274">
        <w:rPr>
          <w:kern w:val="16"/>
        </w:rPr>
        <w:t xml:space="preserve">most accurate detector calibrations. </w:t>
      </w:r>
      <w:r>
        <w:rPr>
          <w:kern w:val="16"/>
        </w:rPr>
        <w:t>This requires a detailed review</w:t>
      </w:r>
      <w:r w:rsidRPr="00E96274">
        <w:rPr>
          <w:kern w:val="16"/>
        </w:rPr>
        <w:t xml:space="preserve"> </w:t>
      </w:r>
      <w:r>
        <w:rPr>
          <w:kern w:val="16"/>
        </w:rPr>
        <w:t xml:space="preserve">of existing and </w:t>
      </w:r>
      <w:r w:rsidRPr="00E96274">
        <w:rPr>
          <w:kern w:val="16"/>
        </w:rPr>
        <w:t>required Monte-Carlo calculations</w:t>
      </w:r>
      <w:r>
        <w:rPr>
          <w:kern w:val="16"/>
        </w:rPr>
        <w:t xml:space="preserve"> t</w:t>
      </w:r>
      <w:r w:rsidRPr="00E96274">
        <w:rPr>
          <w:kern w:val="16"/>
        </w:rPr>
        <w:t xml:space="preserve">ogether with </w:t>
      </w:r>
      <w:r w:rsidR="00014EA0">
        <w:rPr>
          <w:kern w:val="16"/>
        </w:rPr>
        <w:t xml:space="preserve">the development of </w:t>
      </w:r>
      <w:r>
        <w:rPr>
          <w:kern w:val="16"/>
        </w:rPr>
        <w:t xml:space="preserve">efficient </w:t>
      </w:r>
      <w:r w:rsidRPr="00E96274">
        <w:rPr>
          <w:kern w:val="16"/>
        </w:rPr>
        <w:t>monitoring tool</w:t>
      </w:r>
      <w:r>
        <w:rPr>
          <w:kern w:val="16"/>
        </w:rPr>
        <w:t>s</w:t>
      </w:r>
      <w:r w:rsidRPr="00E96274">
        <w:rPr>
          <w:kern w:val="16"/>
        </w:rPr>
        <w:t xml:space="preserve"> and </w:t>
      </w:r>
      <w:r w:rsidR="00014EA0">
        <w:rPr>
          <w:kern w:val="16"/>
        </w:rPr>
        <w:t xml:space="preserve">the constant </w:t>
      </w:r>
      <w:r w:rsidRPr="00E96274">
        <w:rPr>
          <w:kern w:val="16"/>
        </w:rPr>
        <w:t>im</w:t>
      </w:r>
      <w:r w:rsidR="00014EA0">
        <w:rPr>
          <w:kern w:val="16"/>
        </w:rPr>
        <w:t>provement</w:t>
      </w:r>
      <w:r>
        <w:rPr>
          <w:kern w:val="16"/>
        </w:rPr>
        <w:t xml:space="preserve"> </w:t>
      </w:r>
      <w:r w:rsidR="00014EA0">
        <w:rPr>
          <w:kern w:val="16"/>
        </w:rPr>
        <w:t xml:space="preserve">of </w:t>
      </w:r>
      <w:r>
        <w:rPr>
          <w:kern w:val="16"/>
        </w:rPr>
        <w:t>monitor locations</w:t>
      </w:r>
      <w:r w:rsidRPr="00E96274">
        <w:rPr>
          <w:kern w:val="16"/>
        </w:rPr>
        <w:t xml:space="preserve">. </w:t>
      </w:r>
      <w:r>
        <w:rPr>
          <w:kern w:val="16"/>
        </w:rPr>
        <w:t>F</w:t>
      </w:r>
      <w:r w:rsidRPr="00E96274">
        <w:rPr>
          <w:kern w:val="16"/>
        </w:rPr>
        <w:t xml:space="preserve">or all LHC </w:t>
      </w:r>
      <w:r>
        <w:rPr>
          <w:kern w:val="16"/>
        </w:rPr>
        <w:t xml:space="preserve">critical </w:t>
      </w:r>
      <w:r w:rsidRPr="00E96274">
        <w:rPr>
          <w:kern w:val="16"/>
        </w:rPr>
        <w:t xml:space="preserve">areas </w:t>
      </w:r>
      <w:r w:rsidR="00AD21B5">
        <w:rPr>
          <w:kern w:val="16"/>
        </w:rPr>
        <w:t xml:space="preserve">radiation </w:t>
      </w:r>
      <w:r>
        <w:rPr>
          <w:kern w:val="16"/>
        </w:rPr>
        <w:t>levels have to be reviewed on a regular basis, assuring full monitoring coverage and the best possible understanding of their results.</w:t>
      </w:r>
    </w:p>
    <w:p w:rsidR="00E96274" w:rsidRDefault="00E96274" w:rsidP="00E96274">
      <w:pPr>
        <w:pStyle w:val="BodyTextIndent"/>
        <w:numPr>
          <w:ilvl w:val="0"/>
          <w:numId w:val="30"/>
        </w:numPr>
        <w:rPr>
          <w:kern w:val="16"/>
        </w:rPr>
      </w:pPr>
      <w:r>
        <w:rPr>
          <w:kern w:val="16"/>
        </w:rPr>
        <w:t xml:space="preserve">A close collaboration with </w:t>
      </w:r>
      <w:r w:rsidRPr="00E96274">
        <w:rPr>
          <w:kern w:val="16"/>
        </w:rPr>
        <w:t xml:space="preserve">the equipment groups for the assessment of radiation tolerance of </w:t>
      </w:r>
      <w:r w:rsidR="00143909">
        <w:rPr>
          <w:kern w:val="16"/>
        </w:rPr>
        <w:t xml:space="preserve">presently </w:t>
      </w:r>
      <w:r>
        <w:rPr>
          <w:kern w:val="16"/>
        </w:rPr>
        <w:t xml:space="preserve">installed (and future) </w:t>
      </w:r>
      <w:r w:rsidRPr="00E96274">
        <w:rPr>
          <w:kern w:val="16"/>
        </w:rPr>
        <w:t xml:space="preserve">electronic equipment in radiation exposed areas. </w:t>
      </w:r>
      <w:r>
        <w:rPr>
          <w:kern w:val="16"/>
        </w:rPr>
        <w:t>C</w:t>
      </w:r>
      <w:r w:rsidRPr="00E96274">
        <w:rPr>
          <w:kern w:val="16"/>
        </w:rPr>
        <w:t>ommon design practices and appropriate radiation tests</w:t>
      </w:r>
      <w:r>
        <w:rPr>
          <w:kern w:val="16"/>
        </w:rPr>
        <w:t xml:space="preserve"> </w:t>
      </w:r>
      <w:r>
        <w:rPr>
          <w:kern w:val="16"/>
        </w:rPr>
        <w:lastRenderedPageBreak/>
        <w:t>have to be discussed and reviewed in detail. In addition,</w:t>
      </w:r>
      <w:r w:rsidRPr="00E96274">
        <w:rPr>
          <w:kern w:val="16"/>
        </w:rPr>
        <w:t xml:space="preserve"> observed radiation induced failures </w:t>
      </w:r>
      <w:r>
        <w:rPr>
          <w:kern w:val="16"/>
        </w:rPr>
        <w:t xml:space="preserve">have to be carefully analyzed and used as direct input for </w:t>
      </w:r>
      <w:r w:rsidR="00143909">
        <w:rPr>
          <w:kern w:val="16"/>
        </w:rPr>
        <w:t xml:space="preserve">(a) </w:t>
      </w:r>
      <w:r>
        <w:rPr>
          <w:kern w:val="16"/>
        </w:rPr>
        <w:t xml:space="preserve">failure rate estimates, </w:t>
      </w:r>
      <w:r w:rsidR="00143909">
        <w:rPr>
          <w:kern w:val="16"/>
        </w:rPr>
        <w:t xml:space="preserve">(b) </w:t>
      </w:r>
      <w:r>
        <w:rPr>
          <w:kern w:val="16"/>
        </w:rPr>
        <w:t xml:space="preserve">the development of required patch-solutions, as well as </w:t>
      </w:r>
      <w:r w:rsidR="00143909">
        <w:rPr>
          <w:kern w:val="16"/>
        </w:rPr>
        <w:t xml:space="preserve">(c) for </w:t>
      </w:r>
      <w:r w:rsidR="00014EA0">
        <w:rPr>
          <w:kern w:val="16"/>
        </w:rPr>
        <w:t xml:space="preserve">the development of </w:t>
      </w:r>
      <w:r w:rsidR="00143909">
        <w:rPr>
          <w:kern w:val="16"/>
        </w:rPr>
        <w:t>radiation tolerant equipment</w:t>
      </w:r>
      <w:r w:rsidRPr="00E96274">
        <w:rPr>
          <w:kern w:val="16"/>
        </w:rPr>
        <w:t xml:space="preserve">. </w:t>
      </w:r>
      <w:r w:rsidR="00143909">
        <w:rPr>
          <w:kern w:val="16"/>
        </w:rPr>
        <w:t>To support (b) and (c), r</w:t>
      </w:r>
      <w:r w:rsidRPr="00E96274">
        <w:rPr>
          <w:kern w:val="16"/>
        </w:rPr>
        <w:t>adiation test campaigns</w:t>
      </w:r>
      <w:r>
        <w:rPr>
          <w:kern w:val="16"/>
        </w:rPr>
        <w:t xml:space="preserve"> have to be organized on a regular basis</w:t>
      </w:r>
      <w:r w:rsidRPr="00E96274">
        <w:rPr>
          <w:kern w:val="16"/>
        </w:rPr>
        <w:t xml:space="preserve"> within CERN (CNRAD, H4Irrad</w:t>
      </w:r>
      <w:r>
        <w:rPr>
          <w:kern w:val="16"/>
        </w:rPr>
        <w:t xml:space="preserve"> test areas</w:t>
      </w:r>
      <w:r w:rsidRPr="00E96274">
        <w:rPr>
          <w:kern w:val="16"/>
        </w:rPr>
        <w:t>) and at external facilities (PSI, etc.).</w:t>
      </w:r>
    </w:p>
    <w:p w:rsidR="00143909" w:rsidRDefault="00143909" w:rsidP="00E96274">
      <w:pPr>
        <w:pStyle w:val="BodyTextIndent"/>
        <w:numPr>
          <w:ilvl w:val="0"/>
          <w:numId w:val="30"/>
        </w:numPr>
        <w:rPr>
          <w:kern w:val="16"/>
        </w:rPr>
      </w:pPr>
      <w:r>
        <w:rPr>
          <w:kern w:val="16"/>
        </w:rPr>
        <w:t xml:space="preserve">The technical integration study and detailed implementation of medium-term mitigation measures such as </w:t>
      </w:r>
      <w:r w:rsidR="00014EA0">
        <w:rPr>
          <w:kern w:val="16"/>
        </w:rPr>
        <w:t xml:space="preserve">the installation of </w:t>
      </w:r>
      <w:r>
        <w:rPr>
          <w:kern w:val="16"/>
        </w:rPr>
        <w:t xml:space="preserve">shielding </w:t>
      </w:r>
      <w:r w:rsidR="00AD21B5">
        <w:rPr>
          <w:kern w:val="16"/>
        </w:rPr>
        <w:t>and</w:t>
      </w:r>
      <w:r>
        <w:rPr>
          <w:kern w:val="16"/>
        </w:rPr>
        <w:t xml:space="preserve"> relocation</w:t>
      </w:r>
      <w:r w:rsidR="00014EA0">
        <w:rPr>
          <w:kern w:val="16"/>
        </w:rPr>
        <w:t xml:space="preserve"> campaigns of sensitive equipment.</w:t>
      </w:r>
    </w:p>
    <w:p w:rsidR="00165665" w:rsidRDefault="00165665" w:rsidP="00165665">
      <w:pPr>
        <w:pStyle w:val="BodyTextIndent"/>
        <w:rPr>
          <w:kern w:val="16"/>
        </w:rPr>
      </w:pPr>
    </w:p>
    <w:p w:rsidR="00677871" w:rsidRDefault="00677871" w:rsidP="00165665">
      <w:pPr>
        <w:pStyle w:val="BodyTextIndent"/>
        <w:rPr>
          <w:kern w:val="16"/>
        </w:rPr>
      </w:pPr>
      <w:r>
        <w:rPr>
          <w:kern w:val="16"/>
        </w:rPr>
        <w:t>This paper summarizes our understanding of radiation levels, their development during the coming years of LHC operation and the consequences for electronics installed in critical areas. Finally, past and ongoing mitigation measures are briefly described and follow-up actions are identified.</w:t>
      </w:r>
    </w:p>
    <w:p w:rsidR="0014556A" w:rsidRDefault="007F3245" w:rsidP="0014556A">
      <w:pPr>
        <w:pStyle w:val="Heading2"/>
        <w:spacing w:before="180"/>
      </w:pPr>
      <w:r>
        <w:t>RAdiation tests at CNRAD</w:t>
      </w:r>
    </w:p>
    <w:p w:rsidR="00266A70" w:rsidRDefault="008271A7" w:rsidP="00266A70">
      <w:pPr>
        <w:pStyle w:val="BodyTextIndent"/>
        <w:rPr>
          <w:kern w:val="16"/>
        </w:rPr>
      </w:pPr>
      <w:r>
        <w:rPr>
          <w:kern w:val="16"/>
        </w:rPr>
        <w:t>T</w:t>
      </w:r>
      <w:r w:rsidR="00266A70" w:rsidRPr="00266A70">
        <w:rPr>
          <w:kern w:val="16"/>
        </w:rPr>
        <w:t xml:space="preserve">o estimate the </w:t>
      </w:r>
      <w:r w:rsidR="00266A70">
        <w:rPr>
          <w:kern w:val="16"/>
        </w:rPr>
        <w:t>possible implication of radiation induced failures of electronics in the LHC</w:t>
      </w:r>
      <w:r w:rsidR="00266A70" w:rsidRPr="00266A70">
        <w:rPr>
          <w:kern w:val="16"/>
        </w:rPr>
        <w:t xml:space="preserve">, three </w:t>
      </w:r>
      <w:r w:rsidR="00266A70">
        <w:rPr>
          <w:kern w:val="16"/>
        </w:rPr>
        <w:t>groups</w:t>
      </w:r>
      <w:r w:rsidR="00266A70" w:rsidRPr="00266A70">
        <w:rPr>
          <w:kern w:val="16"/>
        </w:rPr>
        <w:t xml:space="preserve"> of information have to be known</w:t>
      </w:r>
      <w:r w:rsidR="00266A70">
        <w:rPr>
          <w:kern w:val="16"/>
        </w:rPr>
        <w:t>: (1) t</w:t>
      </w:r>
      <w:r w:rsidR="00266A70" w:rsidRPr="00266A70">
        <w:rPr>
          <w:kern w:val="16"/>
        </w:rPr>
        <w:t xml:space="preserve">he failure mode(s) of the device, </w:t>
      </w:r>
      <w:r w:rsidR="007669DD">
        <w:rPr>
          <w:kern w:val="16"/>
        </w:rPr>
        <w:t xml:space="preserve">(2) </w:t>
      </w:r>
      <w:r w:rsidR="00266A70" w:rsidRPr="00266A70">
        <w:rPr>
          <w:kern w:val="16"/>
        </w:rPr>
        <w:t>the failure cross section</w:t>
      </w:r>
      <w:r w:rsidR="00266A70">
        <w:rPr>
          <w:kern w:val="16"/>
        </w:rPr>
        <w:t xml:space="preserve"> (probability) </w:t>
      </w:r>
      <w:r w:rsidR="00266A70" w:rsidRPr="00266A70">
        <w:rPr>
          <w:kern w:val="16"/>
        </w:rPr>
        <w:t>or level at which it occurs in case of cumulative effects and</w:t>
      </w:r>
      <w:r w:rsidR="00266A70">
        <w:rPr>
          <w:kern w:val="16"/>
        </w:rPr>
        <w:t xml:space="preserve"> </w:t>
      </w:r>
      <w:r w:rsidR="007669DD">
        <w:rPr>
          <w:kern w:val="16"/>
        </w:rPr>
        <w:t xml:space="preserve">(3) </w:t>
      </w:r>
      <w:r w:rsidR="00266A70" w:rsidRPr="00266A70">
        <w:rPr>
          <w:kern w:val="16"/>
        </w:rPr>
        <w:t>the expected radiation level</w:t>
      </w:r>
      <w:r w:rsidR="00266A70">
        <w:rPr>
          <w:kern w:val="16"/>
        </w:rPr>
        <w:t xml:space="preserve"> </w:t>
      </w:r>
      <w:r w:rsidR="00266A70" w:rsidRPr="00266A70">
        <w:rPr>
          <w:kern w:val="16"/>
        </w:rPr>
        <w:t>at the point</w:t>
      </w:r>
      <w:r w:rsidR="00266A70">
        <w:rPr>
          <w:kern w:val="16"/>
        </w:rPr>
        <w:t xml:space="preserve"> of installation</w:t>
      </w:r>
      <w:r w:rsidR="00266A70" w:rsidRPr="00266A70">
        <w:rPr>
          <w:kern w:val="16"/>
        </w:rPr>
        <w:t>.</w:t>
      </w:r>
      <w:r w:rsidR="00266A70">
        <w:rPr>
          <w:kern w:val="16"/>
        </w:rPr>
        <w:t xml:space="preserve"> </w:t>
      </w:r>
      <w:r w:rsidR="00266A70" w:rsidRPr="00266A70">
        <w:rPr>
          <w:kern w:val="16"/>
        </w:rPr>
        <w:t>Most of the electronics systems located in the LHC tunnel</w:t>
      </w:r>
      <w:r w:rsidR="00266A70">
        <w:rPr>
          <w:kern w:val="16"/>
        </w:rPr>
        <w:t>, but</w:t>
      </w:r>
      <w:r w:rsidR="00266A70" w:rsidRPr="00266A70">
        <w:rPr>
          <w:kern w:val="16"/>
        </w:rPr>
        <w:t xml:space="preserve"> only </w:t>
      </w:r>
      <w:r w:rsidR="00266A70">
        <w:rPr>
          <w:kern w:val="16"/>
        </w:rPr>
        <w:t xml:space="preserve">a </w:t>
      </w:r>
      <w:r w:rsidR="00266A70" w:rsidRPr="00266A70">
        <w:rPr>
          <w:kern w:val="16"/>
        </w:rPr>
        <w:t xml:space="preserve">few systems from the LHC </w:t>
      </w:r>
      <w:r w:rsidR="00AD21B5">
        <w:rPr>
          <w:kern w:val="16"/>
        </w:rPr>
        <w:t>shielded areas</w:t>
      </w:r>
      <w:r w:rsidR="00266A70" w:rsidRPr="00266A70">
        <w:rPr>
          <w:kern w:val="16"/>
        </w:rPr>
        <w:t xml:space="preserve"> were </w:t>
      </w:r>
      <w:r w:rsidR="00266A70">
        <w:rPr>
          <w:kern w:val="16"/>
        </w:rPr>
        <w:t xml:space="preserve">actually </w:t>
      </w:r>
      <w:r w:rsidR="00266A70" w:rsidRPr="00266A70">
        <w:rPr>
          <w:kern w:val="16"/>
        </w:rPr>
        <w:t>tested</w:t>
      </w:r>
      <w:r w:rsidR="00266A70">
        <w:rPr>
          <w:kern w:val="16"/>
        </w:rPr>
        <w:t xml:space="preserve"> </w:t>
      </w:r>
      <w:r w:rsidR="00266A70" w:rsidRPr="00266A70">
        <w:rPr>
          <w:kern w:val="16"/>
        </w:rPr>
        <w:t xml:space="preserve">in the </w:t>
      </w:r>
      <w:r w:rsidR="00266A70">
        <w:rPr>
          <w:kern w:val="16"/>
        </w:rPr>
        <w:t>CNRAD (</w:t>
      </w:r>
      <w:r w:rsidR="00266A70" w:rsidRPr="00266A70">
        <w:rPr>
          <w:kern w:val="16"/>
        </w:rPr>
        <w:t>CNGS TSG4</w:t>
      </w:r>
      <w:r w:rsidR="00266A70">
        <w:rPr>
          <w:kern w:val="16"/>
        </w:rPr>
        <w:t>)</w:t>
      </w:r>
      <w:r w:rsidR="00266A70" w:rsidRPr="00266A70">
        <w:rPr>
          <w:kern w:val="16"/>
        </w:rPr>
        <w:t xml:space="preserve"> </w:t>
      </w:r>
      <w:r w:rsidR="00266A70">
        <w:rPr>
          <w:kern w:val="16"/>
        </w:rPr>
        <w:t xml:space="preserve">test </w:t>
      </w:r>
      <w:r w:rsidR="00266A70" w:rsidRPr="00266A70">
        <w:rPr>
          <w:kern w:val="16"/>
        </w:rPr>
        <w:t>area</w:t>
      </w:r>
      <w:r w:rsidR="00266A70">
        <w:rPr>
          <w:kern w:val="16"/>
        </w:rPr>
        <w:t xml:space="preserve">, but partly also in </w:t>
      </w:r>
      <w:r w:rsidR="00266A70" w:rsidRPr="00266A70">
        <w:rPr>
          <w:kern w:val="16"/>
        </w:rPr>
        <w:t>external facilities in</w:t>
      </w:r>
      <w:r w:rsidR="00266A70">
        <w:rPr>
          <w:kern w:val="16"/>
        </w:rPr>
        <w:t xml:space="preserve"> </w:t>
      </w:r>
      <w:r w:rsidR="00266A70" w:rsidRPr="00266A70">
        <w:rPr>
          <w:kern w:val="16"/>
        </w:rPr>
        <w:t>2009</w:t>
      </w:r>
      <w:r w:rsidR="00266A70">
        <w:rPr>
          <w:kern w:val="16"/>
        </w:rPr>
        <w:t xml:space="preserve"> [1] and </w:t>
      </w:r>
      <w:r w:rsidR="00AD21B5">
        <w:rPr>
          <w:kern w:val="16"/>
        </w:rPr>
        <w:t>earlier</w:t>
      </w:r>
      <w:r w:rsidR="00266A70" w:rsidRPr="00266A70">
        <w:rPr>
          <w:kern w:val="16"/>
        </w:rPr>
        <w:t xml:space="preserve">. </w:t>
      </w:r>
    </w:p>
    <w:p w:rsidR="00266A70" w:rsidRDefault="00266A70" w:rsidP="00266A70">
      <w:pPr>
        <w:pStyle w:val="BodyTextIndent"/>
        <w:rPr>
          <w:kern w:val="16"/>
        </w:rPr>
      </w:pPr>
    </w:p>
    <w:p w:rsidR="00266A70" w:rsidRDefault="00266A70" w:rsidP="00266A70">
      <w:pPr>
        <w:pStyle w:val="BodyTextIndent"/>
        <w:rPr>
          <w:kern w:val="16"/>
        </w:rPr>
      </w:pPr>
      <w:r>
        <w:rPr>
          <w:kern w:val="16"/>
        </w:rPr>
        <w:t xml:space="preserve">For the large number of commercial systems being installed in the shielded areas, only a representative selection of devices could be tested in 2010 and </w:t>
      </w:r>
      <w:r w:rsidR="00613E57">
        <w:rPr>
          <w:kern w:val="16"/>
        </w:rPr>
        <w:t xml:space="preserve">it </w:t>
      </w:r>
      <w:r>
        <w:rPr>
          <w:kern w:val="16"/>
        </w:rPr>
        <w:t>is important to note that even for this selection no guarantee can be given that equal devices (same manufacturer and type) will also behave in an equal manner</w:t>
      </w:r>
      <w:r w:rsidR="001B64D8">
        <w:rPr>
          <w:kern w:val="16"/>
        </w:rPr>
        <w:t xml:space="preserve"> when exposed to radiation</w:t>
      </w:r>
      <w:r>
        <w:rPr>
          <w:kern w:val="16"/>
        </w:rPr>
        <w:t>. The latter is due to fact that for ‘Components of the Shelf (COTS)’ no guarantee nor information is provided from the producer that in all devices the same components (</w:t>
      </w:r>
      <w:r w:rsidR="000B245B">
        <w:rPr>
          <w:kern w:val="16"/>
        </w:rPr>
        <w:t>manufacturer</w:t>
      </w:r>
      <w:r>
        <w:rPr>
          <w:kern w:val="16"/>
        </w:rPr>
        <w:t xml:space="preserve">, </w:t>
      </w:r>
      <w:r w:rsidR="000B245B">
        <w:rPr>
          <w:kern w:val="16"/>
        </w:rPr>
        <w:t xml:space="preserve">process, </w:t>
      </w:r>
      <w:r>
        <w:rPr>
          <w:kern w:val="16"/>
        </w:rPr>
        <w:t>batch) are used, thus variations on their behaviour under radiation have to be expected.</w:t>
      </w:r>
    </w:p>
    <w:p w:rsidR="00266A70" w:rsidRDefault="00266A70" w:rsidP="00266A70">
      <w:pPr>
        <w:pStyle w:val="BodyTextIndent"/>
        <w:rPr>
          <w:kern w:val="16"/>
        </w:rPr>
      </w:pPr>
    </w:p>
    <w:p w:rsidR="00DE52A2" w:rsidRDefault="00266A70" w:rsidP="00266A70">
      <w:pPr>
        <w:pStyle w:val="BodyTextIndent"/>
        <w:rPr>
          <w:kern w:val="16"/>
        </w:rPr>
      </w:pPr>
      <w:r>
        <w:rPr>
          <w:kern w:val="16"/>
        </w:rPr>
        <w:t xml:space="preserve">However, to provide a global estimate for the LHC, the test results </w:t>
      </w:r>
      <w:r w:rsidRPr="00266A70">
        <w:rPr>
          <w:kern w:val="16"/>
        </w:rPr>
        <w:t xml:space="preserve">provide the </w:t>
      </w:r>
      <w:r w:rsidR="00DE52A2">
        <w:rPr>
          <w:kern w:val="16"/>
        </w:rPr>
        <w:t xml:space="preserve">only information </w:t>
      </w:r>
      <w:r w:rsidRPr="00266A70">
        <w:rPr>
          <w:kern w:val="16"/>
        </w:rPr>
        <w:t xml:space="preserve">on the </w:t>
      </w:r>
      <w:r w:rsidRPr="00266A70">
        <w:rPr>
          <w:kern w:val="16"/>
        </w:rPr>
        <w:lastRenderedPageBreak/>
        <w:t>sensitivities of the</w:t>
      </w:r>
      <w:r>
        <w:rPr>
          <w:kern w:val="16"/>
        </w:rPr>
        <w:t xml:space="preserve"> </w:t>
      </w:r>
      <w:r w:rsidRPr="00266A70">
        <w:rPr>
          <w:kern w:val="16"/>
        </w:rPr>
        <w:t>devices as well as the</w:t>
      </w:r>
      <w:r w:rsidR="00DE52A2">
        <w:rPr>
          <w:kern w:val="16"/>
        </w:rPr>
        <w:t>ir</w:t>
      </w:r>
      <w:r w:rsidRPr="00266A70">
        <w:rPr>
          <w:kern w:val="16"/>
        </w:rPr>
        <w:t xml:space="preserve"> likely failure modes. </w:t>
      </w:r>
      <w:r w:rsidR="00DE52A2">
        <w:rPr>
          <w:kern w:val="16"/>
        </w:rPr>
        <w:t xml:space="preserve">These results are then combined with the information available in the equipment inventories of the LHC (see [2-5]) which were performed in 2010 in order to allow for a detailed analysis of all types of exposed equipment, their working principle and their impact on </w:t>
      </w:r>
      <w:r w:rsidR="00AD21B5">
        <w:rPr>
          <w:kern w:val="16"/>
        </w:rPr>
        <w:t xml:space="preserve">LHC </w:t>
      </w:r>
      <w:r w:rsidR="00DE52A2">
        <w:rPr>
          <w:kern w:val="16"/>
        </w:rPr>
        <w:t xml:space="preserve">operation in case of failures. </w:t>
      </w:r>
    </w:p>
    <w:p w:rsidR="00266A70" w:rsidRDefault="00266A70" w:rsidP="000B245B">
      <w:pPr>
        <w:pStyle w:val="BodyTextIndent"/>
        <w:ind w:firstLine="0"/>
        <w:rPr>
          <w:kern w:val="16"/>
        </w:rPr>
      </w:pPr>
    </w:p>
    <w:p w:rsidR="0014556A" w:rsidRDefault="00266A70" w:rsidP="00266A70">
      <w:pPr>
        <w:pStyle w:val="BodyTextIndent"/>
        <w:rPr>
          <w:kern w:val="16"/>
        </w:rPr>
      </w:pPr>
      <w:r w:rsidRPr="00266A70">
        <w:rPr>
          <w:kern w:val="16"/>
        </w:rPr>
        <w:t>Numerous radiation tests were performed during 20</w:t>
      </w:r>
      <w:r w:rsidR="000B245B">
        <w:rPr>
          <w:kern w:val="16"/>
        </w:rPr>
        <w:t>10 with a significant fraction focusing on COTS components.</w:t>
      </w:r>
      <w:r>
        <w:rPr>
          <w:kern w:val="16"/>
        </w:rPr>
        <w:t xml:space="preserve"> </w:t>
      </w:r>
      <w:r w:rsidR="000B245B">
        <w:rPr>
          <w:kern w:val="16"/>
        </w:rPr>
        <w:t xml:space="preserve">For the latter, the following representative electronic systems have been selected and were </w:t>
      </w:r>
      <w:r w:rsidR="007669DD">
        <w:rPr>
          <w:kern w:val="16"/>
        </w:rPr>
        <w:t>available</w:t>
      </w:r>
      <w:r w:rsidR="00387005">
        <w:rPr>
          <w:kern w:val="16"/>
        </w:rPr>
        <w:t xml:space="preserve"> to be </w:t>
      </w:r>
      <w:r w:rsidR="000B245B">
        <w:rPr>
          <w:kern w:val="16"/>
        </w:rPr>
        <w:t>installed at CNRAD</w:t>
      </w:r>
      <w:r w:rsidR="00B344C4">
        <w:rPr>
          <w:kern w:val="16"/>
        </w:rPr>
        <w:t xml:space="preserve"> (equipment details provided in brackets)</w:t>
      </w:r>
      <w:r w:rsidR="000B245B">
        <w:rPr>
          <w:kern w:val="16"/>
        </w:rPr>
        <w:t>:</w:t>
      </w:r>
      <w:r w:rsidR="00D34D63">
        <w:rPr>
          <w:kern w:val="16"/>
        </w:rPr>
        <w:t xml:space="preserve"> </w:t>
      </w:r>
    </w:p>
    <w:p w:rsidR="000B245B" w:rsidRDefault="000B245B" w:rsidP="000B245B">
      <w:pPr>
        <w:pStyle w:val="BodyTextIndent"/>
        <w:numPr>
          <w:ilvl w:val="0"/>
          <w:numId w:val="23"/>
        </w:numPr>
        <w:rPr>
          <w:kern w:val="16"/>
        </w:rPr>
      </w:pPr>
      <w:r>
        <w:rPr>
          <w:kern w:val="16"/>
        </w:rPr>
        <w:t>Timing and Remote Reset (custom built system as installed in the LHC)</w:t>
      </w:r>
    </w:p>
    <w:p w:rsidR="000B245B" w:rsidRPr="000B245B" w:rsidRDefault="000B245B" w:rsidP="000B245B">
      <w:pPr>
        <w:pStyle w:val="BodyTextIndent"/>
        <w:numPr>
          <w:ilvl w:val="0"/>
          <w:numId w:val="23"/>
        </w:numPr>
        <w:rPr>
          <w:kern w:val="16"/>
        </w:rPr>
      </w:pPr>
      <w:r w:rsidRPr="000B245B">
        <w:rPr>
          <w:kern w:val="16"/>
        </w:rPr>
        <w:t>Cooling and Ventilation Control (Siemens S7-300, S7-200</w:t>
      </w:r>
      <w:r>
        <w:rPr>
          <w:kern w:val="16"/>
        </w:rPr>
        <w:t xml:space="preserve">, </w:t>
      </w:r>
      <w:r w:rsidRPr="000B245B">
        <w:rPr>
          <w:kern w:val="16"/>
        </w:rPr>
        <w:t>Schneider Telemecanique Premium</w:t>
      </w:r>
      <w:r>
        <w:rPr>
          <w:kern w:val="16"/>
        </w:rPr>
        <w:t>)</w:t>
      </w:r>
    </w:p>
    <w:p w:rsidR="000B245B" w:rsidRDefault="000B245B" w:rsidP="000B245B">
      <w:pPr>
        <w:pStyle w:val="BodyTextIndent"/>
        <w:numPr>
          <w:ilvl w:val="0"/>
          <w:numId w:val="23"/>
        </w:numPr>
        <w:rPr>
          <w:kern w:val="16"/>
        </w:rPr>
      </w:pPr>
      <w:r>
        <w:rPr>
          <w:kern w:val="16"/>
        </w:rPr>
        <w:t>Fire Detection (detectors</w:t>
      </w:r>
      <w:r w:rsidR="001B64D8">
        <w:rPr>
          <w:kern w:val="16"/>
        </w:rPr>
        <w:t xml:space="preserve"> </w:t>
      </w:r>
      <w:r>
        <w:rPr>
          <w:kern w:val="16"/>
        </w:rPr>
        <w:t>of different types</w:t>
      </w:r>
      <w:r w:rsidR="001B64D8" w:rsidRPr="001B64D8">
        <w:rPr>
          <w:kern w:val="16"/>
        </w:rPr>
        <w:t xml:space="preserve"> </w:t>
      </w:r>
      <w:r w:rsidR="001B64D8">
        <w:rPr>
          <w:kern w:val="16"/>
        </w:rPr>
        <w:t>based on commercial components/systems</w:t>
      </w:r>
      <w:r>
        <w:rPr>
          <w:kern w:val="16"/>
        </w:rPr>
        <w:t>)</w:t>
      </w:r>
    </w:p>
    <w:p w:rsidR="001B64D8" w:rsidRPr="00AD21B5" w:rsidRDefault="001B64D8" w:rsidP="00AD21B5">
      <w:pPr>
        <w:pStyle w:val="BodyTextIndent"/>
        <w:numPr>
          <w:ilvl w:val="0"/>
          <w:numId w:val="23"/>
        </w:numPr>
        <w:rPr>
          <w:kern w:val="16"/>
        </w:rPr>
      </w:pPr>
      <w:r w:rsidRPr="00AD21B5">
        <w:rPr>
          <w:kern w:val="16"/>
        </w:rPr>
        <w:t xml:space="preserve">Control equipment of electrical installations </w:t>
      </w:r>
      <w:r w:rsidR="00AD21B5" w:rsidRPr="00AD21B5">
        <w:rPr>
          <w:kern w:val="16"/>
        </w:rPr>
        <w:t xml:space="preserve">located in </w:t>
      </w:r>
      <w:r w:rsidRPr="00AD21B5">
        <w:rPr>
          <w:kern w:val="16"/>
        </w:rPr>
        <w:t>LHC safe-rooms</w:t>
      </w:r>
      <w:r w:rsidR="00AD21B5" w:rsidRPr="00AD21B5">
        <w:rPr>
          <w:kern w:val="16"/>
        </w:rPr>
        <w:t xml:space="preserve"> (RTU CLP500E, </w:t>
      </w:r>
      <w:r w:rsidR="00706BF5">
        <w:rPr>
          <w:kern w:val="16"/>
        </w:rPr>
        <w:t xml:space="preserve">Ethernet Switch, </w:t>
      </w:r>
      <w:r w:rsidR="00AD21B5" w:rsidRPr="00AD21B5">
        <w:rPr>
          <w:kern w:val="16"/>
        </w:rPr>
        <w:t>DAU MAP3200, 48/24VDC, Pt100/20mA, RS232/RS485</w:t>
      </w:r>
      <w:r w:rsidR="00AD21B5">
        <w:rPr>
          <w:kern w:val="16"/>
        </w:rPr>
        <w:t>, etc.)</w:t>
      </w:r>
    </w:p>
    <w:p w:rsidR="000B245B" w:rsidRPr="000B245B" w:rsidRDefault="000B245B" w:rsidP="000B245B">
      <w:pPr>
        <w:pStyle w:val="BodyTextIndent"/>
        <w:numPr>
          <w:ilvl w:val="0"/>
          <w:numId w:val="23"/>
        </w:numPr>
        <w:rPr>
          <w:kern w:val="16"/>
        </w:rPr>
      </w:pPr>
      <w:r>
        <w:rPr>
          <w:kern w:val="16"/>
        </w:rPr>
        <w:t>Ethernet Distribution (</w:t>
      </w:r>
      <w:r w:rsidRPr="000B245B">
        <w:rPr>
          <w:kern w:val="16"/>
        </w:rPr>
        <w:t>Ethernet Switches</w:t>
      </w:r>
      <w:r>
        <w:rPr>
          <w:kern w:val="16"/>
        </w:rPr>
        <w:t xml:space="preserve"> </w:t>
      </w:r>
      <w:r w:rsidRPr="000B245B">
        <w:rPr>
          <w:kern w:val="16"/>
        </w:rPr>
        <w:t>3Com 4400</w:t>
      </w:r>
      <w:r>
        <w:rPr>
          <w:kern w:val="16"/>
        </w:rPr>
        <w:t>)</w:t>
      </w:r>
    </w:p>
    <w:p w:rsidR="000B245B" w:rsidRPr="000B245B" w:rsidRDefault="000B245B" w:rsidP="000B245B">
      <w:pPr>
        <w:pStyle w:val="BodyTextIndent"/>
        <w:numPr>
          <w:ilvl w:val="0"/>
          <w:numId w:val="23"/>
        </w:numPr>
        <w:rPr>
          <w:kern w:val="16"/>
        </w:rPr>
      </w:pPr>
      <w:r w:rsidRPr="000B245B">
        <w:rPr>
          <w:kern w:val="16"/>
        </w:rPr>
        <w:t xml:space="preserve">Interlock Controller (PLC 315F 2 DP, Ethernet controller, 24 DI safety input modules, 2 x DO </w:t>
      </w:r>
      <w:r w:rsidRPr="000B245B">
        <w:rPr>
          <w:kern w:val="16"/>
        </w:rPr>
        <w:br/>
        <w:t>Relay modules, 2 x 32 DO module,  IM153.1 - ET 200M, Boolean Processor - FM 352-5)</w:t>
      </w:r>
    </w:p>
    <w:p w:rsidR="000B245B" w:rsidRPr="000B245B" w:rsidRDefault="000B245B" w:rsidP="000B245B">
      <w:pPr>
        <w:pStyle w:val="BodyTextIndent"/>
        <w:numPr>
          <w:ilvl w:val="0"/>
          <w:numId w:val="23"/>
        </w:numPr>
        <w:rPr>
          <w:kern w:val="16"/>
        </w:rPr>
      </w:pPr>
      <w:r w:rsidRPr="000B245B">
        <w:rPr>
          <w:kern w:val="16"/>
        </w:rPr>
        <w:t>Collimation (Drivers, I/O RIO</w:t>
      </w:r>
      <w:r>
        <w:rPr>
          <w:kern w:val="16"/>
        </w:rPr>
        <w:t xml:space="preserve">, </w:t>
      </w:r>
      <w:r w:rsidRPr="000B245B">
        <w:rPr>
          <w:kern w:val="16"/>
        </w:rPr>
        <w:t>Nati</w:t>
      </w:r>
      <w:r>
        <w:rPr>
          <w:kern w:val="16"/>
        </w:rPr>
        <w:t xml:space="preserve">onal Instruments PXI MDC + PRS, </w:t>
      </w:r>
      <w:r w:rsidRPr="000B245B">
        <w:rPr>
          <w:kern w:val="16"/>
        </w:rPr>
        <w:t>ADC, DAC, FPGA card, power supply)</w:t>
      </w:r>
    </w:p>
    <w:p w:rsidR="000B245B" w:rsidRDefault="000B245B" w:rsidP="000B245B">
      <w:pPr>
        <w:pStyle w:val="BodyTextIndent"/>
        <w:numPr>
          <w:ilvl w:val="0"/>
          <w:numId w:val="23"/>
        </w:numPr>
        <w:rPr>
          <w:kern w:val="16"/>
        </w:rPr>
      </w:pPr>
      <w:r w:rsidRPr="000B245B">
        <w:rPr>
          <w:kern w:val="16"/>
        </w:rPr>
        <w:t>E</w:t>
      </w:r>
      <w:r w:rsidR="00B344C4">
        <w:rPr>
          <w:kern w:val="16"/>
        </w:rPr>
        <w:t xml:space="preserve">uropa crate (custom electronic </w:t>
      </w:r>
      <w:r w:rsidRPr="000B245B">
        <w:rPr>
          <w:kern w:val="16"/>
        </w:rPr>
        <w:t>for LVDTs and Reso</w:t>
      </w:r>
      <w:r w:rsidR="00B344C4">
        <w:rPr>
          <w:kern w:val="16"/>
        </w:rPr>
        <w:t xml:space="preserve">lvers  excitation/acquisition, </w:t>
      </w:r>
      <w:r w:rsidRPr="000B245B">
        <w:rPr>
          <w:kern w:val="16"/>
        </w:rPr>
        <w:t>power supply</w:t>
      </w:r>
      <w:r>
        <w:rPr>
          <w:kern w:val="16"/>
        </w:rPr>
        <w:t>)</w:t>
      </w:r>
    </w:p>
    <w:p w:rsidR="00B344C4" w:rsidRDefault="00B344C4" w:rsidP="00B344C4">
      <w:pPr>
        <w:pStyle w:val="BodyTextIndent"/>
        <w:rPr>
          <w:kern w:val="16"/>
        </w:rPr>
      </w:pPr>
    </w:p>
    <w:p w:rsidR="00677871" w:rsidRDefault="00677871" w:rsidP="00180040">
      <w:pPr>
        <w:pStyle w:val="TableCaption0"/>
        <w:jc w:val="both"/>
        <w:rPr>
          <w:kern w:val="16"/>
        </w:rPr>
      </w:pPr>
      <w:proofErr w:type="gramStart"/>
      <w:r>
        <w:rPr>
          <w:kern w:val="16"/>
        </w:rPr>
        <w:t xml:space="preserve">Table 1: </w:t>
      </w:r>
      <w:r w:rsidRPr="00B344C4">
        <w:rPr>
          <w:kern w:val="16"/>
        </w:rPr>
        <w:t>Equipment failure cross-sections as obtained during the 2010 CNRAD radiation test campaign on COTS systems</w:t>
      </w:r>
      <w:r>
        <w:rPr>
          <w:kern w:val="16"/>
        </w:rPr>
        <w:t>.</w:t>
      </w:r>
      <w:proofErr w:type="gramEnd"/>
      <w:r>
        <w:rPr>
          <w:kern w:val="16"/>
        </w:rPr>
        <w:t xml:space="preserve"> </w:t>
      </w:r>
    </w:p>
    <w:tbl>
      <w:tblPr>
        <w:tblW w:w="0" w:type="auto"/>
        <w:tblInd w:w="108" w:type="dxa"/>
        <w:tblBorders>
          <w:top w:val="single" w:sz="12" w:space="0" w:color="auto"/>
          <w:bottom w:val="single" w:sz="12" w:space="0" w:color="auto"/>
          <w:insideH w:val="single" w:sz="4" w:space="0" w:color="auto"/>
        </w:tblBorders>
        <w:tblLook w:val="0000"/>
      </w:tblPr>
      <w:tblGrid>
        <w:gridCol w:w="1350"/>
        <w:gridCol w:w="2050"/>
        <w:gridCol w:w="1383"/>
      </w:tblGrid>
      <w:tr w:rsidR="00677871" w:rsidRPr="00E56880" w:rsidTr="007669DD">
        <w:tc>
          <w:tcPr>
            <w:tcW w:w="1350" w:type="dxa"/>
            <w:tcBorders>
              <w:top w:val="single" w:sz="12" w:space="0" w:color="auto"/>
              <w:bottom w:val="single" w:sz="12" w:space="0" w:color="auto"/>
            </w:tcBorders>
          </w:tcPr>
          <w:p w:rsidR="00677871" w:rsidRPr="00934921" w:rsidRDefault="00677871" w:rsidP="007669DD">
            <w:pPr>
              <w:pStyle w:val="TableCaption0"/>
              <w:rPr>
                <w:b/>
                <w:bCs/>
                <w:kern w:val="16"/>
                <w:sz w:val="18"/>
                <w:szCs w:val="18"/>
              </w:rPr>
            </w:pPr>
            <w:r>
              <w:rPr>
                <w:b/>
                <w:bCs/>
                <w:kern w:val="16"/>
                <w:sz w:val="18"/>
                <w:szCs w:val="18"/>
              </w:rPr>
              <w:t>Device Type</w:t>
            </w:r>
          </w:p>
        </w:tc>
        <w:tc>
          <w:tcPr>
            <w:tcW w:w="2050" w:type="dxa"/>
            <w:tcBorders>
              <w:top w:val="single" w:sz="12" w:space="0" w:color="auto"/>
              <w:bottom w:val="single" w:sz="12" w:space="0" w:color="auto"/>
            </w:tcBorders>
          </w:tcPr>
          <w:p w:rsidR="00677871" w:rsidRPr="00934921" w:rsidRDefault="00677871" w:rsidP="007669DD">
            <w:pPr>
              <w:pStyle w:val="TableCaption0"/>
              <w:rPr>
                <w:b/>
                <w:bCs/>
                <w:kern w:val="16"/>
                <w:sz w:val="18"/>
                <w:szCs w:val="18"/>
              </w:rPr>
            </w:pPr>
            <w:r>
              <w:rPr>
                <w:b/>
                <w:bCs/>
                <w:kern w:val="16"/>
                <w:sz w:val="18"/>
                <w:szCs w:val="18"/>
              </w:rPr>
              <w:t>Failure Mode</w:t>
            </w:r>
          </w:p>
        </w:tc>
        <w:tc>
          <w:tcPr>
            <w:tcW w:w="0" w:type="auto"/>
            <w:tcBorders>
              <w:top w:val="single" w:sz="12" w:space="0" w:color="auto"/>
              <w:bottom w:val="single" w:sz="12" w:space="0" w:color="auto"/>
            </w:tcBorders>
          </w:tcPr>
          <w:p w:rsidR="00677871" w:rsidRPr="00934921" w:rsidRDefault="00677871" w:rsidP="007669DD">
            <w:pPr>
              <w:pStyle w:val="TableCaption0"/>
              <w:rPr>
                <w:b/>
                <w:bCs/>
                <w:kern w:val="16"/>
                <w:sz w:val="18"/>
                <w:szCs w:val="18"/>
              </w:rPr>
            </w:pPr>
            <w:r>
              <w:rPr>
                <w:b/>
                <w:bCs/>
                <w:kern w:val="16"/>
                <w:sz w:val="18"/>
                <w:szCs w:val="18"/>
              </w:rPr>
              <w:t>Failure Cross-Section [cm</w:t>
            </w:r>
            <w:r w:rsidRPr="00B344C4">
              <w:rPr>
                <w:b/>
                <w:bCs/>
                <w:kern w:val="16"/>
                <w:sz w:val="18"/>
                <w:szCs w:val="18"/>
                <w:vertAlign w:val="superscript"/>
              </w:rPr>
              <w:t>2</w:t>
            </w:r>
            <w:r>
              <w:rPr>
                <w:b/>
                <w:bCs/>
                <w:kern w:val="16"/>
                <w:sz w:val="18"/>
                <w:szCs w:val="18"/>
              </w:rPr>
              <w:t>]</w:t>
            </w:r>
          </w:p>
        </w:tc>
      </w:tr>
      <w:tr w:rsidR="00677871" w:rsidRPr="00E56880" w:rsidTr="007669DD">
        <w:trPr>
          <w:trHeight w:val="241"/>
        </w:trPr>
        <w:tc>
          <w:tcPr>
            <w:tcW w:w="1350" w:type="dxa"/>
            <w:tcBorders>
              <w:top w:val="single" w:sz="12" w:space="0" w:color="auto"/>
            </w:tcBorders>
          </w:tcPr>
          <w:p w:rsidR="00677871" w:rsidRPr="00660E74" w:rsidRDefault="00677871" w:rsidP="007669DD">
            <w:r w:rsidRPr="00660E74">
              <w:t>PLC-S7-200</w:t>
            </w:r>
          </w:p>
        </w:tc>
        <w:tc>
          <w:tcPr>
            <w:tcW w:w="2050" w:type="dxa"/>
            <w:tcBorders>
              <w:top w:val="single" w:sz="12" w:space="0" w:color="auto"/>
            </w:tcBorders>
          </w:tcPr>
          <w:p w:rsidR="00677871" w:rsidRPr="00B3152F" w:rsidRDefault="00677871" w:rsidP="007669DD">
            <w:proofErr w:type="spellStart"/>
            <w:r>
              <w:t>Profibus</w:t>
            </w:r>
            <w:proofErr w:type="spellEnd"/>
            <w:r>
              <w:t xml:space="preserve"> </w:t>
            </w:r>
            <w:r w:rsidRPr="00B3152F">
              <w:t>lost, reset needed</w:t>
            </w:r>
          </w:p>
        </w:tc>
        <w:tc>
          <w:tcPr>
            <w:tcW w:w="0" w:type="auto"/>
            <w:tcBorders>
              <w:top w:val="single" w:sz="12" w:space="0" w:color="auto"/>
            </w:tcBorders>
          </w:tcPr>
          <w:p w:rsidR="00677871" w:rsidRPr="00276099" w:rsidRDefault="00677871" w:rsidP="007669DD">
            <w:pPr>
              <w:jc w:val="center"/>
            </w:pPr>
            <w:r w:rsidRPr="00276099">
              <w:t>1.8x10</w:t>
            </w:r>
            <w:r w:rsidRPr="00387005">
              <w:rPr>
                <w:vertAlign w:val="superscript"/>
              </w:rPr>
              <w:t>-7</w:t>
            </w:r>
          </w:p>
        </w:tc>
      </w:tr>
      <w:tr w:rsidR="00677871" w:rsidRPr="00E56880" w:rsidTr="007669DD">
        <w:tc>
          <w:tcPr>
            <w:tcW w:w="1350" w:type="dxa"/>
          </w:tcPr>
          <w:p w:rsidR="00677871" w:rsidRPr="00660E74" w:rsidRDefault="00677871" w:rsidP="007669DD">
            <w:r w:rsidRPr="00660E74">
              <w:t>24V DC Power Supply</w:t>
            </w:r>
          </w:p>
        </w:tc>
        <w:tc>
          <w:tcPr>
            <w:tcW w:w="2050" w:type="dxa"/>
          </w:tcPr>
          <w:p w:rsidR="00677871" w:rsidRPr="00B3152F" w:rsidRDefault="00677871" w:rsidP="007669DD">
            <w:r>
              <w:t>Destructive failure (b</w:t>
            </w:r>
            <w:r w:rsidRPr="00B3152F">
              <w:t>urned</w:t>
            </w:r>
            <w:r>
              <w:t>-out chip)</w:t>
            </w:r>
          </w:p>
        </w:tc>
        <w:tc>
          <w:tcPr>
            <w:tcW w:w="0" w:type="auto"/>
          </w:tcPr>
          <w:p w:rsidR="00677871" w:rsidRPr="00276099" w:rsidRDefault="00677871" w:rsidP="007669DD">
            <w:pPr>
              <w:jc w:val="center"/>
            </w:pPr>
            <w:r w:rsidRPr="00276099">
              <w:t>1.1x10</w:t>
            </w:r>
            <w:r w:rsidRPr="00387005">
              <w:rPr>
                <w:vertAlign w:val="superscript"/>
              </w:rPr>
              <w:t>-8</w:t>
            </w:r>
          </w:p>
        </w:tc>
      </w:tr>
      <w:tr w:rsidR="00677871" w:rsidRPr="00E56880" w:rsidTr="007669DD">
        <w:tc>
          <w:tcPr>
            <w:tcW w:w="1350" w:type="dxa"/>
          </w:tcPr>
          <w:p w:rsidR="00677871" w:rsidRPr="00660E74" w:rsidRDefault="00677871" w:rsidP="007669DD">
            <w:r w:rsidRPr="00660E74">
              <w:t xml:space="preserve">PLC-S7-300 </w:t>
            </w:r>
          </w:p>
        </w:tc>
        <w:tc>
          <w:tcPr>
            <w:tcW w:w="2050" w:type="dxa"/>
          </w:tcPr>
          <w:p w:rsidR="00677871" w:rsidRPr="00B3152F" w:rsidRDefault="00677871" w:rsidP="007669DD">
            <w:r w:rsidRPr="00B3152F">
              <w:t>blocked, reset needed</w:t>
            </w:r>
          </w:p>
        </w:tc>
        <w:tc>
          <w:tcPr>
            <w:tcW w:w="0" w:type="auto"/>
          </w:tcPr>
          <w:p w:rsidR="00677871" w:rsidRPr="00276099" w:rsidRDefault="00677871" w:rsidP="007669DD">
            <w:pPr>
              <w:jc w:val="center"/>
            </w:pPr>
            <w:r w:rsidRPr="00276099">
              <w:t>7.8x10</w:t>
            </w:r>
            <w:r w:rsidRPr="00387005">
              <w:rPr>
                <w:vertAlign w:val="superscript"/>
              </w:rPr>
              <w:t>-8</w:t>
            </w:r>
          </w:p>
        </w:tc>
      </w:tr>
      <w:tr w:rsidR="00677871" w:rsidRPr="00E56880" w:rsidTr="007669DD">
        <w:tc>
          <w:tcPr>
            <w:tcW w:w="1350" w:type="dxa"/>
          </w:tcPr>
          <w:p w:rsidR="00677871" w:rsidRPr="00660E74" w:rsidRDefault="00677871" w:rsidP="007669DD">
            <w:r w:rsidRPr="00660E74">
              <w:t>PLC-Schneider</w:t>
            </w:r>
          </w:p>
        </w:tc>
        <w:tc>
          <w:tcPr>
            <w:tcW w:w="2050" w:type="dxa"/>
          </w:tcPr>
          <w:p w:rsidR="00677871" w:rsidRPr="00B3152F" w:rsidRDefault="00677871" w:rsidP="007669DD">
            <w:r w:rsidRPr="00B3152F">
              <w:t>PS burned</w:t>
            </w:r>
          </w:p>
        </w:tc>
        <w:tc>
          <w:tcPr>
            <w:tcW w:w="0" w:type="auto"/>
          </w:tcPr>
          <w:p w:rsidR="00677871" w:rsidRPr="00276099" w:rsidRDefault="00677871" w:rsidP="007669DD">
            <w:pPr>
              <w:jc w:val="center"/>
            </w:pPr>
            <w:r w:rsidRPr="00276099">
              <w:t>1.1x10</w:t>
            </w:r>
            <w:r w:rsidRPr="00387005">
              <w:rPr>
                <w:vertAlign w:val="superscript"/>
              </w:rPr>
              <w:t>-7</w:t>
            </w:r>
          </w:p>
        </w:tc>
      </w:tr>
      <w:tr w:rsidR="00677871" w:rsidRPr="00E56880" w:rsidTr="007669DD">
        <w:tc>
          <w:tcPr>
            <w:tcW w:w="1350" w:type="dxa"/>
          </w:tcPr>
          <w:p w:rsidR="00677871" w:rsidRPr="00660E74" w:rsidRDefault="00677871" w:rsidP="007669DD">
            <w:r w:rsidRPr="00660E74">
              <w:t>PLC S7-300 + FM352-5</w:t>
            </w:r>
          </w:p>
        </w:tc>
        <w:tc>
          <w:tcPr>
            <w:tcW w:w="2050" w:type="dxa"/>
          </w:tcPr>
          <w:p w:rsidR="00677871" w:rsidRPr="00B3152F" w:rsidRDefault="00677871" w:rsidP="007669DD">
            <w:r w:rsidRPr="00B3152F">
              <w:t xml:space="preserve">beam dump and access </w:t>
            </w:r>
          </w:p>
        </w:tc>
        <w:tc>
          <w:tcPr>
            <w:tcW w:w="0" w:type="auto"/>
          </w:tcPr>
          <w:p w:rsidR="00677871" w:rsidRPr="00276099" w:rsidRDefault="00677871" w:rsidP="007669DD">
            <w:pPr>
              <w:jc w:val="center"/>
            </w:pPr>
            <w:r w:rsidRPr="00276099">
              <w:t>1.1x10</w:t>
            </w:r>
            <w:r w:rsidRPr="00387005">
              <w:rPr>
                <w:vertAlign w:val="superscript"/>
              </w:rPr>
              <w:t>-7</w:t>
            </w:r>
          </w:p>
        </w:tc>
      </w:tr>
      <w:tr w:rsidR="00677871" w:rsidRPr="00E56880" w:rsidTr="007669DD">
        <w:tc>
          <w:tcPr>
            <w:tcW w:w="1350" w:type="dxa"/>
          </w:tcPr>
          <w:p w:rsidR="00677871" w:rsidRPr="00660E74" w:rsidRDefault="00677871" w:rsidP="007669DD">
            <w:r w:rsidRPr="00660E74">
              <w:t>Fire Detectors</w:t>
            </w:r>
          </w:p>
        </w:tc>
        <w:tc>
          <w:tcPr>
            <w:tcW w:w="2050" w:type="dxa"/>
          </w:tcPr>
          <w:p w:rsidR="00677871" w:rsidRPr="00B3152F" w:rsidRDefault="00677871" w:rsidP="007669DD">
            <w:r w:rsidRPr="00B3152F">
              <w:t xml:space="preserve">power cycle </w:t>
            </w:r>
          </w:p>
        </w:tc>
        <w:tc>
          <w:tcPr>
            <w:tcW w:w="0" w:type="auto"/>
          </w:tcPr>
          <w:p w:rsidR="00677871" w:rsidRPr="00276099" w:rsidRDefault="00677871" w:rsidP="007669DD">
            <w:pPr>
              <w:jc w:val="center"/>
            </w:pPr>
            <w:r w:rsidRPr="00276099">
              <w:t>1.0x10</w:t>
            </w:r>
            <w:r w:rsidRPr="00387005">
              <w:rPr>
                <w:vertAlign w:val="superscript"/>
              </w:rPr>
              <w:t>-</w:t>
            </w:r>
            <w:r>
              <w:rPr>
                <w:vertAlign w:val="superscript"/>
              </w:rPr>
              <w:t>9</w:t>
            </w:r>
          </w:p>
        </w:tc>
      </w:tr>
      <w:tr w:rsidR="00677871" w:rsidRPr="00E56880" w:rsidTr="007669DD">
        <w:tc>
          <w:tcPr>
            <w:tcW w:w="1350" w:type="dxa"/>
          </w:tcPr>
          <w:p w:rsidR="00677871" w:rsidRDefault="00677871" w:rsidP="007669DD">
            <w:r w:rsidRPr="00660E74">
              <w:t xml:space="preserve">Ethernet Switch </w:t>
            </w:r>
          </w:p>
        </w:tc>
        <w:tc>
          <w:tcPr>
            <w:tcW w:w="2050" w:type="dxa"/>
          </w:tcPr>
          <w:p w:rsidR="00677871" w:rsidRPr="00B3152F" w:rsidRDefault="00677871" w:rsidP="007669DD">
            <w:r w:rsidRPr="00B3152F">
              <w:t xml:space="preserve">blocked, reset needed </w:t>
            </w:r>
          </w:p>
        </w:tc>
        <w:tc>
          <w:tcPr>
            <w:tcW w:w="0" w:type="auto"/>
          </w:tcPr>
          <w:p w:rsidR="00677871" w:rsidRPr="00276099" w:rsidRDefault="00677871" w:rsidP="007669DD">
            <w:pPr>
              <w:jc w:val="center"/>
            </w:pPr>
            <w:r w:rsidRPr="00276099">
              <w:t>1.4x10</w:t>
            </w:r>
            <w:r w:rsidRPr="00387005">
              <w:rPr>
                <w:vertAlign w:val="superscript"/>
              </w:rPr>
              <w:t>-</w:t>
            </w:r>
            <w:r>
              <w:rPr>
                <w:vertAlign w:val="superscript"/>
              </w:rPr>
              <w:t>8</w:t>
            </w:r>
          </w:p>
        </w:tc>
      </w:tr>
    </w:tbl>
    <w:p w:rsidR="00677871" w:rsidRDefault="00677871" w:rsidP="00677871">
      <w:pPr>
        <w:pStyle w:val="BodyTextIndent"/>
        <w:rPr>
          <w:kern w:val="16"/>
        </w:rPr>
      </w:pPr>
    </w:p>
    <w:p w:rsidR="00B344C4" w:rsidRDefault="00B344C4" w:rsidP="00B344C4">
      <w:pPr>
        <w:pStyle w:val="BodyTextIndent"/>
        <w:rPr>
          <w:kern w:val="16"/>
        </w:rPr>
      </w:pPr>
      <w:r>
        <w:rPr>
          <w:kern w:val="16"/>
        </w:rPr>
        <w:t xml:space="preserve">The systems were closely monitored during the irradiation period and failures were classified into soft </w:t>
      </w:r>
      <w:r>
        <w:rPr>
          <w:kern w:val="16"/>
        </w:rPr>
        <w:lastRenderedPageBreak/>
        <w:t xml:space="preserve">failures (reset allowed to continue the operation of a device) and hard failures (device was not recoverable). A selection of respective failure cross-section is provided in Table 1 with more details provided in the various radiation test reports (partly still in work) of the responsible equipment groups as collected on the </w:t>
      </w:r>
      <w:proofErr w:type="spellStart"/>
      <w:r>
        <w:rPr>
          <w:kern w:val="16"/>
        </w:rPr>
        <w:t>RadWG</w:t>
      </w:r>
      <w:proofErr w:type="spellEnd"/>
      <w:r>
        <w:rPr>
          <w:kern w:val="16"/>
        </w:rPr>
        <w:t xml:space="preserve"> website</w:t>
      </w:r>
      <w:r w:rsidR="008E1EF4">
        <w:rPr>
          <w:kern w:val="16"/>
        </w:rPr>
        <w:t xml:space="preserve"> (</w:t>
      </w:r>
      <w:hyperlink r:id="rId9" w:history="1">
        <w:r w:rsidR="008E1EF4" w:rsidRPr="00BD500D">
          <w:rPr>
            <w:rStyle w:val="Hyperlink"/>
            <w:kern w:val="16"/>
          </w:rPr>
          <w:t>www.cern.ch/radwg</w:t>
        </w:r>
      </w:hyperlink>
      <w:r w:rsidR="008E1EF4">
        <w:rPr>
          <w:kern w:val="16"/>
        </w:rPr>
        <w:t>)</w:t>
      </w:r>
      <w:r>
        <w:rPr>
          <w:kern w:val="16"/>
        </w:rPr>
        <w:t>.</w:t>
      </w:r>
    </w:p>
    <w:p w:rsidR="00677871" w:rsidRDefault="00677871" w:rsidP="00B344C4">
      <w:pPr>
        <w:pStyle w:val="BodyTextIndent"/>
        <w:rPr>
          <w:kern w:val="16"/>
        </w:rPr>
      </w:pPr>
    </w:p>
    <w:p w:rsidR="00C7162F" w:rsidRDefault="00C7162F" w:rsidP="00B344C4">
      <w:pPr>
        <w:pStyle w:val="BodyTextIndent"/>
        <w:rPr>
          <w:kern w:val="16"/>
        </w:rPr>
      </w:pPr>
      <w:r>
        <w:rPr>
          <w:kern w:val="16"/>
        </w:rPr>
        <w:t>To illustrate the stated failure cross sections (representing the probability of failure per unit high-energy radiation fluence), one can take the result for the PLC-S7-200 and put it into perspective with the radiation levels at its installed LHC location</w:t>
      </w:r>
      <w:r w:rsidR="00DF74EF">
        <w:rPr>
          <w:kern w:val="16"/>
        </w:rPr>
        <w:t>s</w:t>
      </w:r>
      <w:r>
        <w:rPr>
          <w:kern w:val="16"/>
        </w:rPr>
        <w:t>:</w:t>
      </w:r>
    </w:p>
    <w:p w:rsidR="00C7162F" w:rsidRPr="00DF74EF" w:rsidRDefault="00DF74EF" w:rsidP="00C7162F">
      <w:pPr>
        <w:pStyle w:val="BodyTextIndent"/>
        <w:numPr>
          <w:ilvl w:val="0"/>
          <w:numId w:val="23"/>
        </w:numPr>
        <w:rPr>
          <w:kern w:val="16"/>
        </w:rPr>
      </w:pPr>
      <w:r>
        <w:rPr>
          <w:kern w:val="16"/>
        </w:rPr>
        <w:t xml:space="preserve">failure cross-section: </w:t>
      </w:r>
      <w:r w:rsidRPr="00276099">
        <w:t>1.8x10</w:t>
      </w:r>
      <w:r w:rsidRPr="00387005">
        <w:rPr>
          <w:vertAlign w:val="superscript"/>
        </w:rPr>
        <w:t>-</w:t>
      </w:r>
      <w:r>
        <w:rPr>
          <w:vertAlign w:val="superscript"/>
        </w:rPr>
        <w:t>7</w:t>
      </w:r>
      <w:r>
        <w:t>cm</w:t>
      </w:r>
      <w:r w:rsidRPr="00DF74EF">
        <w:rPr>
          <w:vertAlign w:val="superscript"/>
        </w:rPr>
        <w:t>2</w:t>
      </w:r>
      <w:r>
        <w:t xml:space="preserve"> </w:t>
      </w:r>
    </w:p>
    <w:p w:rsidR="00DF74EF" w:rsidRPr="00DF74EF" w:rsidRDefault="00DF74EF" w:rsidP="00C7162F">
      <w:pPr>
        <w:pStyle w:val="BodyTextIndent"/>
        <w:numPr>
          <w:ilvl w:val="0"/>
          <w:numId w:val="23"/>
        </w:numPr>
        <w:rPr>
          <w:kern w:val="16"/>
        </w:rPr>
      </w:pPr>
      <w:r>
        <w:t xml:space="preserve">expected </w:t>
      </w:r>
      <w:r w:rsidR="00706BF5">
        <w:t xml:space="preserve">annual </w:t>
      </w:r>
      <w:r>
        <w:t>radiation levels in the UJ14: ~ 1x10</w:t>
      </w:r>
      <w:r w:rsidRPr="00DF74EF">
        <w:rPr>
          <w:vertAlign w:val="superscript"/>
        </w:rPr>
        <w:t>9</w:t>
      </w:r>
      <w:r>
        <w:t>cm</w:t>
      </w:r>
      <w:r w:rsidRPr="00DF74EF">
        <w:rPr>
          <w:vertAlign w:val="superscript"/>
        </w:rPr>
        <w:t>-2</w:t>
      </w:r>
      <w:r w:rsidR="00706BF5">
        <w:t>y</w:t>
      </w:r>
      <w:r w:rsidR="00706BF5" w:rsidRPr="00706BF5">
        <w:rPr>
          <w:vertAlign w:val="superscript"/>
        </w:rPr>
        <w:t>-1</w:t>
      </w:r>
      <w:r w:rsidR="00706BF5">
        <w:t xml:space="preserve"> </w:t>
      </w:r>
      <w:r>
        <w:t>(in case no shielding/relocation is applied)</w:t>
      </w:r>
    </w:p>
    <w:p w:rsidR="00DF74EF" w:rsidRDefault="00DF74EF" w:rsidP="00C7162F">
      <w:pPr>
        <w:pStyle w:val="BodyTextIndent"/>
        <w:numPr>
          <w:ilvl w:val="0"/>
          <w:numId w:val="23"/>
        </w:numPr>
        <w:rPr>
          <w:kern w:val="16"/>
        </w:rPr>
      </w:pPr>
      <w:r>
        <w:rPr>
          <w:kern w:val="16"/>
        </w:rPr>
        <w:t>this device would faile ~200 time per year at nominal LHC operation, leading to a beam-stop and required access</w:t>
      </w:r>
    </w:p>
    <w:p w:rsidR="00C7162F" w:rsidRDefault="00C7162F" w:rsidP="00B344C4">
      <w:pPr>
        <w:pStyle w:val="BodyTextIndent"/>
        <w:rPr>
          <w:kern w:val="16"/>
        </w:rPr>
      </w:pPr>
    </w:p>
    <w:p w:rsidR="00A00630" w:rsidRDefault="00387005" w:rsidP="00B344C4">
      <w:pPr>
        <w:pStyle w:val="BodyTextIndent"/>
        <w:rPr>
          <w:kern w:val="16"/>
        </w:rPr>
      </w:pPr>
      <w:r>
        <w:rPr>
          <w:kern w:val="16"/>
        </w:rPr>
        <w:t xml:space="preserve">The failure cross sections </w:t>
      </w:r>
      <w:r w:rsidR="00971189">
        <w:rPr>
          <w:kern w:val="16"/>
        </w:rPr>
        <w:t xml:space="preserve">obtained during the CNRAD irradiation tests </w:t>
      </w:r>
      <w:r>
        <w:rPr>
          <w:kern w:val="16"/>
        </w:rPr>
        <w:t xml:space="preserve">can then be used </w:t>
      </w:r>
      <w:r w:rsidR="00971189">
        <w:rPr>
          <w:kern w:val="16"/>
        </w:rPr>
        <w:t xml:space="preserve">together with the </w:t>
      </w:r>
      <w:r w:rsidR="00706BF5">
        <w:rPr>
          <w:kern w:val="16"/>
        </w:rPr>
        <w:t xml:space="preserve">information collected through the </w:t>
      </w:r>
      <w:r w:rsidR="00971189">
        <w:rPr>
          <w:kern w:val="16"/>
        </w:rPr>
        <w:t xml:space="preserve">equipment inventories </w:t>
      </w:r>
      <w:r w:rsidR="00706BF5">
        <w:rPr>
          <w:kern w:val="16"/>
        </w:rPr>
        <w:t xml:space="preserve">[2-5] </w:t>
      </w:r>
      <w:r w:rsidR="00971189">
        <w:rPr>
          <w:kern w:val="16"/>
        </w:rPr>
        <w:t xml:space="preserve">and </w:t>
      </w:r>
      <w:r w:rsidR="00706BF5">
        <w:rPr>
          <w:kern w:val="16"/>
        </w:rPr>
        <w:t xml:space="preserve">can be also applied </w:t>
      </w:r>
      <w:r w:rsidR="00971189">
        <w:rPr>
          <w:kern w:val="16"/>
        </w:rPr>
        <w:t xml:space="preserve">for similar electronics installed in the various areas to provide </w:t>
      </w:r>
      <w:r>
        <w:rPr>
          <w:kern w:val="16"/>
        </w:rPr>
        <w:t>failure rate estimates (see respective chapter in this publication).</w:t>
      </w:r>
      <w:r w:rsidR="00DE0B5B">
        <w:rPr>
          <w:kern w:val="16"/>
        </w:rPr>
        <w:t xml:space="preserve"> However, due to the large number of different equipment types, manufacturers and components being used around the LHC critical areas, an overall uncertainty of one order of magnitude should be </w:t>
      </w:r>
      <w:r w:rsidR="00971189">
        <w:rPr>
          <w:kern w:val="16"/>
        </w:rPr>
        <w:t xml:space="preserve">considered </w:t>
      </w:r>
      <w:r w:rsidR="00DE0B5B">
        <w:rPr>
          <w:kern w:val="16"/>
        </w:rPr>
        <w:t xml:space="preserve">even in case </w:t>
      </w:r>
      <w:r w:rsidR="00971189">
        <w:rPr>
          <w:kern w:val="16"/>
        </w:rPr>
        <w:t xml:space="preserve">when </w:t>
      </w:r>
      <w:r w:rsidR="00DE0B5B">
        <w:rPr>
          <w:kern w:val="16"/>
        </w:rPr>
        <w:t>equipment types</w:t>
      </w:r>
      <w:r w:rsidR="00971189">
        <w:rPr>
          <w:kern w:val="16"/>
        </w:rPr>
        <w:t xml:space="preserve"> similar to the tested ones are used</w:t>
      </w:r>
      <w:r w:rsidR="00DE0B5B">
        <w:rPr>
          <w:kern w:val="16"/>
        </w:rPr>
        <w:t>.</w:t>
      </w:r>
    </w:p>
    <w:p w:rsidR="00A00630" w:rsidRDefault="00A00630" w:rsidP="00B344C4">
      <w:pPr>
        <w:pStyle w:val="BodyTextIndent"/>
        <w:rPr>
          <w:kern w:val="16"/>
        </w:rPr>
      </w:pPr>
    </w:p>
    <w:p w:rsidR="00B344C4" w:rsidRDefault="00DE0B5B" w:rsidP="00B344C4">
      <w:pPr>
        <w:pStyle w:val="BodyTextIndent"/>
        <w:rPr>
          <w:kern w:val="16"/>
        </w:rPr>
      </w:pPr>
      <w:r>
        <w:rPr>
          <w:kern w:val="16"/>
        </w:rPr>
        <w:t xml:space="preserve">Table 1 further </w:t>
      </w:r>
      <w:proofErr w:type="gramStart"/>
      <w:r>
        <w:rPr>
          <w:kern w:val="16"/>
        </w:rPr>
        <w:t>shows</w:t>
      </w:r>
      <w:proofErr w:type="gramEnd"/>
      <w:r>
        <w:rPr>
          <w:kern w:val="16"/>
        </w:rPr>
        <w:t xml:space="preserve"> </w:t>
      </w:r>
      <w:r w:rsidR="00A00630">
        <w:rPr>
          <w:kern w:val="16"/>
        </w:rPr>
        <w:t>that large differences can be observed between the various equipment and depending on the failure mode. An overall suggested ‘rule of thumb’ for unknown equipment failure cross sections is:</w:t>
      </w:r>
    </w:p>
    <w:p w:rsidR="00A00630" w:rsidRDefault="00A00630" w:rsidP="00A00630">
      <w:pPr>
        <w:pStyle w:val="BodyTextIndent"/>
        <w:numPr>
          <w:ilvl w:val="0"/>
          <w:numId w:val="23"/>
        </w:numPr>
        <w:rPr>
          <w:kern w:val="16"/>
        </w:rPr>
      </w:pPr>
      <w:r>
        <w:rPr>
          <w:kern w:val="16"/>
        </w:rPr>
        <w:t>soft failures (reset required): 1 failure per equipment and a cumulated high-energy radiation fluence of 10</w:t>
      </w:r>
      <w:r w:rsidRPr="00A00630">
        <w:rPr>
          <w:kern w:val="16"/>
          <w:vertAlign w:val="superscript"/>
        </w:rPr>
        <w:t>6</w:t>
      </w:r>
      <w:r>
        <w:rPr>
          <w:kern w:val="16"/>
        </w:rPr>
        <w:t>-10</w:t>
      </w:r>
      <w:r w:rsidRPr="00A00630">
        <w:rPr>
          <w:kern w:val="16"/>
          <w:vertAlign w:val="superscript"/>
        </w:rPr>
        <w:t>9</w:t>
      </w:r>
      <w:r>
        <w:rPr>
          <w:kern w:val="16"/>
        </w:rPr>
        <w:t>cm</w:t>
      </w:r>
      <w:r w:rsidRPr="00A00630">
        <w:rPr>
          <w:kern w:val="16"/>
          <w:vertAlign w:val="superscript"/>
        </w:rPr>
        <w:t>-2</w:t>
      </w:r>
      <w:r>
        <w:rPr>
          <w:kern w:val="16"/>
        </w:rPr>
        <w:t>.</w:t>
      </w:r>
    </w:p>
    <w:p w:rsidR="00A00630" w:rsidRPr="00A00630" w:rsidRDefault="00A00630" w:rsidP="00A00630">
      <w:pPr>
        <w:pStyle w:val="BodyTextIndent"/>
        <w:numPr>
          <w:ilvl w:val="0"/>
          <w:numId w:val="23"/>
        </w:numPr>
        <w:rPr>
          <w:kern w:val="16"/>
        </w:rPr>
      </w:pPr>
      <w:r>
        <w:rPr>
          <w:kern w:val="16"/>
        </w:rPr>
        <w:t>hard failures (device not usable anymore): 1 failure per equipment and a cumulated high-energy radiation fluence of 10</w:t>
      </w:r>
      <w:r>
        <w:rPr>
          <w:kern w:val="16"/>
          <w:vertAlign w:val="superscript"/>
        </w:rPr>
        <w:t>7</w:t>
      </w:r>
      <w:r>
        <w:rPr>
          <w:kern w:val="16"/>
        </w:rPr>
        <w:t>-10</w:t>
      </w:r>
      <w:r>
        <w:rPr>
          <w:kern w:val="16"/>
          <w:vertAlign w:val="superscript"/>
        </w:rPr>
        <w:t>10</w:t>
      </w:r>
      <w:r>
        <w:rPr>
          <w:kern w:val="16"/>
        </w:rPr>
        <w:t>cm</w:t>
      </w:r>
      <w:r w:rsidRPr="00A00630">
        <w:rPr>
          <w:kern w:val="16"/>
          <w:vertAlign w:val="superscript"/>
        </w:rPr>
        <w:t>-2</w:t>
      </w:r>
      <w:r>
        <w:rPr>
          <w:kern w:val="16"/>
        </w:rPr>
        <w:t>.</w:t>
      </w:r>
    </w:p>
    <w:p w:rsidR="007F3245" w:rsidRDefault="007F3245" w:rsidP="007F3245">
      <w:pPr>
        <w:pStyle w:val="Heading2"/>
        <w:spacing w:before="180"/>
      </w:pPr>
      <w:r>
        <w:t>FLUKA Benchmark Measurements</w:t>
      </w:r>
    </w:p>
    <w:p w:rsidR="00B45200" w:rsidRDefault="00B45200" w:rsidP="007F3245">
      <w:pPr>
        <w:pStyle w:val="BodyTextIndent"/>
        <w:rPr>
          <w:kern w:val="16"/>
        </w:rPr>
      </w:pPr>
      <w:r>
        <w:rPr>
          <w:kern w:val="16"/>
        </w:rPr>
        <w:t>Radiation levels to be expected around the LHC during nominal and ultimate LHC intensities are predominantly based on detailed and partly very complex FLUKA Monte-Carlo calculations [6, 7]. Their respective results were analyzed, updated and evaluated during the past years [8] and provided together with the equipment sensitivities the starting point for the mitigation analysis</w:t>
      </w:r>
      <w:r w:rsidR="007F3245">
        <w:rPr>
          <w:kern w:val="16"/>
        </w:rPr>
        <w:t xml:space="preserve">. </w:t>
      </w:r>
    </w:p>
    <w:p w:rsidR="00B45200" w:rsidRDefault="00B45200" w:rsidP="007F3245">
      <w:pPr>
        <w:pStyle w:val="BodyTextIndent"/>
        <w:rPr>
          <w:kern w:val="16"/>
        </w:rPr>
      </w:pPr>
    </w:p>
    <w:p w:rsidR="007F3245" w:rsidRDefault="00B45200" w:rsidP="007F3245">
      <w:pPr>
        <w:pStyle w:val="BodyTextIndent"/>
        <w:rPr>
          <w:kern w:val="16"/>
        </w:rPr>
      </w:pPr>
      <w:r>
        <w:rPr>
          <w:kern w:val="16"/>
        </w:rPr>
        <w:t>In order to investigate the accuracy one can obtain with Monte-Carlo calculations, it is important to distinguish between three main sources of possible uncertainties:</w:t>
      </w:r>
    </w:p>
    <w:p w:rsidR="00B45200" w:rsidRDefault="00B45200" w:rsidP="00B45200">
      <w:pPr>
        <w:pStyle w:val="BodyTextIndent"/>
        <w:rPr>
          <w:kern w:val="16"/>
        </w:rPr>
      </w:pPr>
    </w:p>
    <w:p w:rsidR="00B45200" w:rsidRDefault="00B45200" w:rsidP="00B45200">
      <w:pPr>
        <w:pStyle w:val="BulletedList"/>
        <w:rPr>
          <w:kern w:val="16"/>
        </w:rPr>
      </w:pPr>
      <w:r>
        <w:rPr>
          <w:kern w:val="16"/>
        </w:rPr>
        <w:t>level of details included in the calculation (geometry, material</w:t>
      </w:r>
      <w:r w:rsidR="008E1EF4">
        <w:rPr>
          <w:kern w:val="16"/>
        </w:rPr>
        <w:t>s</w:t>
      </w:r>
      <w:r>
        <w:rPr>
          <w:kern w:val="16"/>
        </w:rPr>
        <w:t>)</w:t>
      </w:r>
    </w:p>
    <w:p w:rsidR="00B45200" w:rsidRDefault="00B45200" w:rsidP="00B45200">
      <w:pPr>
        <w:pStyle w:val="BulletedList"/>
        <w:rPr>
          <w:kern w:val="16"/>
        </w:rPr>
      </w:pPr>
      <w:r>
        <w:rPr>
          <w:kern w:val="16"/>
        </w:rPr>
        <w:lastRenderedPageBreak/>
        <w:t>physics models included in the Monte-Carlo code</w:t>
      </w:r>
    </w:p>
    <w:p w:rsidR="00B45200" w:rsidRDefault="00B45200" w:rsidP="00B45200">
      <w:pPr>
        <w:pStyle w:val="BulletedList"/>
        <w:rPr>
          <w:kern w:val="16"/>
        </w:rPr>
      </w:pPr>
      <w:r>
        <w:rPr>
          <w:kern w:val="16"/>
        </w:rPr>
        <w:t>operational and loss assumptions leading to the final normalisation of the results</w:t>
      </w:r>
    </w:p>
    <w:p w:rsidR="00B45200" w:rsidRDefault="00B45200" w:rsidP="00724D53">
      <w:pPr>
        <w:pStyle w:val="BodyTextIndent"/>
        <w:ind w:firstLine="0"/>
        <w:rPr>
          <w:kern w:val="16"/>
        </w:rPr>
      </w:pPr>
    </w:p>
    <w:p w:rsidR="00724D53" w:rsidRDefault="00724D53" w:rsidP="00B52ABA">
      <w:pPr>
        <w:pStyle w:val="BodyTextIndent"/>
        <w:rPr>
          <w:kern w:val="16"/>
        </w:rPr>
      </w:pPr>
      <w:r w:rsidRPr="00724D53">
        <w:rPr>
          <w:kern w:val="16"/>
        </w:rPr>
        <w:t xml:space="preserve">The validity of the </w:t>
      </w:r>
      <w:r>
        <w:rPr>
          <w:kern w:val="16"/>
        </w:rPr>
        <w:t xml:space="preserve">discrete </w:t>
      </w:r>
      <w:r w:rsidRPr="00724D53">
        <w:rPr>
          <w:kern w:val="16"/>
        </w:rPr>
        <w:t xml:space="preserve">physical models implemented in FLUKA has been benchmarked against a variety of experimental data over a wide energy range, from accelerator data to cosmic ray showers in the Earth atmosphere </w:t>
      </w:r>
      <w:r>
        <w:rPr>
          <w:kern w:val="16"/>
        </w:rPr>
        <w:t xml:space="preserve">(see [6, 7] </w:t>
      </w:r>
      <w:r w:rsidRPr="00724D53">
        <w:rPr>
          <w:kern w:val="16"/>
        </w:rPr>
        <w:t>and references therein</w:t>
      </w:r>
      <w:r>
        <w:rPr>
          <w:kern w:val="16"/>
        </w:rPr>
        <w:t>)</w:t>
      </w:r>
      <w:r w:rsidRPr="00724D53">
        <w:rPr>
          <w:kern w:val="16"/>
        </w:rPr>
        <w:t>.</w:t>
      </w:r>
      <w:r>
        <w:rPr>
          <w:kern w:val="16"/>
        </w:rPr>
        <w:t xml:space="preserve"> LHC operation and the complexity of the final radiation field around LHC critical areas require for ‘Radiation </w:t>
      </w:r>
      <w:proofErr w:type="gramStart"/>
      <w:r>
        <w:rPr>
          <w:kern w:val="16"/>
        </w:rPr>
        <w:t>To</w:t>
      </w:r>
      <w:proofErr w:type="gramEnd"/>
      <w:r>
        <w:rPr>
          <w:kern w:val="16"/>
        </w:rPr>
        <w:t xml:space="preserve"> Electronics (</w:t>
      </w:r>
      <w:r w:rsidRPr="00A32C86">
        <w:rPr>
          <w:kern w:val="16"/>
        </w:rPr>
        <w:t>R2E</w:t>
      </w:r>
      <w:r>
        <w:rPr>
          <w:kern w:val="16"/>
        </w:rPr>
        <w:t>)’</w:t>
      </w:r>
      <w:r w:rsidRPr="00A32C86">
        <w:rPr>
          <w:kern w:val="16"/>
        </w:rPr>
        <w:t xml:space="preserve"> </w:t>
      </w:r>
      <w:r>
        <w:rPr>
          <w:kern w:val="16"/>
        </w:rPr>
        <w:t xml:space="preserve">purposes a detailed analysis of different levels of benchmark experiments, </w:t>
      </w:r>
      <w:r w:rsidR="008E1EF4">
        <w:rPr>
          <w:kern w:val="16"/>
        </w:rPr>
        <w:t xml:space="preserve">globally </w:t>
      </w:r>
      <w:r>
        <w:rPr>
          <w:kern w:val="16"/>
        </w:rPr>
        <w:t>summarized in three categories:</w:t>
      </w:r>
    </w:p>
    <w:p w:rsidR="00724D53" w:rsidRDefault="00724D53" w:rsidP="00B52ABA">
      <w:pPr>
        <w:pStyle w:val="BulletedList"/>
        <w:numPr>
          <w:ilvl w:val="0"/>
          <w:numId w:val="24"/>
        </w:numPr>
        <w:rPr>
          <w:kern w:val="16"/>
        </w:rPr>
      </w:pPr>
      <w:r>
        <w:rPr>
          <w:kern w:val="16"/>
        </w:rPr>
        <w:t xml:space="preserve">dedicated experiments with </w:t>
      </w:r>
      <w:r w:rsidR="00B52ABA">
        <w:rPr>
          <w:kern w:val="16"/>
        </w:rPr>
        <w:t xml:space="preserve">LHC </w:t>
      </w:r>
      <w:r>
        <w:rPr>
          <w:kern w:val="16"/>
        </w:rPr>
        <w:t>representative radiation fields allowing for a controlled comparison between simulations and measurements</w:t>
      </w:r>
    </w:p>
    <w:p w:rsidR="00724D53" w:rsidRDefault="00724D53" w:rsidP="00B52ABA">
      <w:pPr>
        <w:pStyle w:val="BulletedList"/>
        <w:numPr>
          <w:ilvl w:val="0"/>
          <w:numId w:val="24"/>
        </w:numPr>
        <w:rPr>
          <w:kern w:val="16"/>
        </w:rPr>
      </w:pPr>
      <w:r>
        <w:rPr>
          <w:kern w:val="16"/>
        </w:rPr>
        <w:t>controlled beam-losses and respective radiation fields in the LHC environment</w:t>
      </w:r>
    </w:p>
    <w:p w:rsidR="00B52ABA" w:rsidRPr="00677871" w:rsidRDefault="00724D53" w:rsidP="00677871">
      <w:pPr>
        <w:pStyle w:val="BulletedList"/>
        <w:numPr>
          <w:ilvl w:val="0"/>
          <w:numId w:val="24"/>
        </w:numPr>
        <w:rPr>
          <w:kern w:val="16"/>
        </w:rPr>
      </w:pPr>
      <w:r>
        <w:rPr>
          <w:kern w:val="16"/>
        </w:rPr>
        <w:t xml:space="preserve">complex </w:t>
      </w:r>
      <w:r w:rsidR="00B52ABA">
        <w:rPr>
          <w:kern w:val="16"/>
        </w:rPr>
        <w:t>beam losses and large scale simulations compared to measurements performed over an extended operation period</w:t>
      </w:r>
    </w:p>
    <w:p w:rsidR="00B52ABA" w:rsidRDefault="00B52ABA" w:rsidP="00B52ABA">
      <w:pPr>
        <w:pStyle w:val="Heading3"/>
        <w:rPr>
          <w:kern w:val="16"/>
        </w:rPr>
      </w:pPr>
      <w:r>
        <w:rPr>
          <w:kern w:val="16"/>
        </w:rPr>
        <w:t xml:space="preserve">(1) </w:t>
      </w:r>
      <w:r w:rsidRPr="00B52ABA">
        <w:rPr>
          <w:kern w:val="16"/>
        </w:rPr>
        <w:t>Benchmark Measurements at the CERF Facility</w:t>
      </w:r>
    </w:p>
    <w:p w:rsidR="00B52ABA" w:rsidRPr="00B52ABA" w:rsidRDefault="00B52ABA" w:rsidP="00180040">
      <w:pPr>
        <w:spacing w:beforeLines="60" w:line="240" w:lineRule="exact"/>
        <w:ind w:firstLine="227"/>
        <w:rPr>
          <w:rFonts w:ascii="Times New Roman" w:eastAsia="MS PMincho" w:hAnsi="Times New Roman"/>
          <w:kern w:val="2"/>
          <w:lang w:eastAsia="ja-JP"/>
        </w:rPr>
      </w:pPr>
      <w:r w:rsidRPr="00B52ABA">
        <w:rPr>
          <w:rFonts w:ascii="Times New Roman" w:eastAsia="MS PMincho" w:hAnsi="Times New Roman"/>
          <w:kern w:val="2"/>
          <w:lang w:eastAsia="ja-JP"/>
        </w:rPr>
        <w:t>In order to obtain measurements in a radiation environment similar to the LHC, however still within a well controlled setup, a set of measurements was performed at the CERF benchmark facility</w:t>
      </w:r>
      <w:r w:rsidRPr="00B52ABA">
        <w:rPr>
          <w:rFonts w:ascii="Times New Roman" w:eastAsia="MS PMincho" w:hAnsi="Times New Roman"/>
          <w:kern w:val="2"/>
          <w:vertAlign w:val="superscript"/>
          <w:lang w:eastAsia="ja-JP"/>
        </w:rPr>
        <w:t xml:space="preserve"> </w:t>
      </w:r>
      <w:r>
        <w:rPr>
          <w:rFonts w:ascii="Times New Roman" w:eastAsia="MS PMincho" w:hAnsi="Times New Roman"/>
          <w:kern w:val="2"/>
          <w:lang w:eastAsia="ja-JP"/>
        </w:rPr>
        <w:t>[9].</w:t>
      </w:r>
      <w:r w:rsidRPr="00B52ABA">
        <w:rPr>
          <w:rFonts w:ascii="Times New Roman" w:eastAsia="MS PMincho" w:hAnsi="Times New Roman"/>
          <w:kern w:val="2"/>
          <w:lang w:eastAsia="ja-JP"/>
        </w:rPr>
        <w:t xml:space="preserve"> A layout of the CERF experimental area is shown in</w:t>
      </w:r>
      <w:r>
        <w:rPr>
          <w:rFonts w:ascii="Times New Roman" w:eastAsia="MS PMincho" w:hAnsi="Times New Roman"/>
          <w:kern w:val="2"/>
          <w:lang w:eastAsia="ja-JP"/>
        </w:rPr>
        <w:t xml:space="preserve"> Figure 1</w:t>
      </w:r>
      <w:r w:rsidRPr="00B52ABA">
        <w:rPr>
          <w:rFonts w:ascii="Times New Roman" w:eastAsia="MS PMincho" w:hAnsi="Times New Roman"/>
          <w:kern w:val="2"/>
          <w:lang w:eastAsia="ja-JP"/>
        </w:rPr>
        <w:t xml:space="preserve">. A pulsed, 120 GeV/c mixed hadron beam (60.7% </w:t>
      </w:r>
      <w:r w:rsidRPr="00B52ABA">
        <w:rPr>
          <w:rFonts w:ascii="Symbol" w:eastAsia="MS PMincho" w:hAnsi="Symbol"/>
          <w:kern w:val="2"/>
          <w:lang w:eastAsia="ja-JP"/>
        </w:rPr>
        <w:t></w:t>
      </w:r>
      <w:r w:rsidRPr="00B52ABA">
        <w:rPr>
          <w:rFonts w:ascii="Times New Roman" w:eastAsia="MS PMincho" w:hAnsi="Times New Roman"/>
          <w:kern w:val="2"/>
          <w:lang w:eastAsia="ja-JP"/>
        </w:rPr>
        <w:t xml:space="preserve">+, 34,8% p, 4.5% K+), from the Super Proton Synchrotron (SPS) accelerator, is aimed at a 50 cm </w:t>
      </w:r>
      <w:r>
        <w:rPr>
          <w:rFonts w:ascii="Times New Roman" w:eastAsia="MS PMincho" w:hAnsi="Times New Roman"/>
          <w:kern w:val="2"/>
          <w:lang w:eastAsia="ja-JP"/>
        </w:rPr>
        <w:t xml:space="preserve">long </w:t>
      </w:r>
      <w:r w:rsidRPr="00B52ABA">
        <w:rPr>
          <w:rFonts w:ascii="Times New Roman" w:eastAsia="MS PMincho" w:hAnsi="Times New Roman"/>
          <w:kern w:val="2"/>
          <w:lang w:eastAsia="ja-JP"/>
        </w:rPr>
        <w:t>copper target creating a radiation field similar to what can be expected in the beam loss regions in the LHC tunnel. The CERF facility can therefore be used as reference field for calibrating and testing of equipment monitoring damage to electronics in a mixed radiation field. Variation in this radiation field can be achieved by placing the equipment at different positions around the copper target. These positions are indicated by labels ranging from 1 through 6, where the downstream positions (4-6) are representative for the LHC tunnel regions, whereas the other positions (1-3) are very similar to shielded areas close to the accelerator tunnel.</w:t>
      </w:r>
    </w:p>
    <w:p w:rsidR="00B52ABA" w:rsidRPr="00B52ABA" w:rsidRDefault="00B52ABA" w:rsidP="00180040">
      <w:pPr>
        <w:spacing w:beforeLines="60" w:line="240" w:lineRule="exact"/>
        <w:ind w:firstLine="227"/>
        <w:rPr>
          <w:rFonts w:ascii="Times New Roman" w:eastAsia="MS PMincho" w:hAnsi="Times New Roman"/>
          <w:kern w:val="2"/>
          <w:lang w:eastAsia="ja-JP"/>
        </w:rPr>
      </w:pPr>
      <w:r w:rsidRPr="00B52ABA">
        <w:rPr>
          <w:rFonts w:ascii="Times New Roman" w:eastAsia="MS PMincho" w:hAnsi="Times New Roman"/>
          <w:kern w:val="2"/>
          <w:lang w:eastAsia="ja-JP"/>
        </w:rPr>
        <w:t>RadMon detectors</w:t>
      </w:r>
      <w:r>
        <w:rPr>
          <w:rFonts w:ascii="Times New Roman" w:eastAsia="MS PMincho" w:hAnsi="Times New Roman"/>
          <w:kern w:val="2"/>
          <w:lang w:eastAsia="ja-JP"/>
        </w:rPr>
        <w:t xml:space="preserve"> [10, 11]</w:t>
      </w:r>
      <w:r w:rsidRPr="00B52ABA">
        <w:rPr>
          <w:rFonts w:ascii="Times New Roman" w:eastAsia="MS PMincho" w:hAnsi="Times New Roman"/>
          <w:kern w:val="2"/>
          <w:lang w:eastAsia="ja-JP"/>
        </w:rPr>
        <w:t xml:space="preserve"> were used for the benchmark at the CERF facility as the RadMon provides online measurements of the Total Ionizing Dose (TID as measured with a RadFET), the 1 MeV neutron equivalent fluence (measured with a PIN-diode ) and the high-energy (&gt; 20 MeV) hadron fluence (measured by “counting” SEUs</w:t>
      </w:r>
      <w:r>
        <w:rPr>
          <w:rFonts w:ascii="Times New Roman" w:eastAsia="MS PMincho" w:hAnsi="Times New Roman"/>
          <w:kern w:val="2"/>
          <w:lang w:eastAsia="ja-JP"/>
        </w:rPr>
        <w:t xml:space="preserve"> in a memory</w:t>
      </w:r>
      <w:r w:rsidRPr="00B52ABA">
        <w:rPr>
          <w:rFonts w:ascii="Times New Roman" w:eastAsia="MS PMincho" w:hAnsi="Times New Roman"/>
          <w:kern w:val="2"/>
          <w:lang w:eastAsia="ja-JP"/>
        </w:rPr>
        <w:t xml:space="preserve">). Each RadMon can be operated at 5V or 3V where the lower voltage effectively increases its Single Event Upset (SEU) sensitivity. During the past years and in view of their high importance for the LHC, a significant effort was made in order to improve their </w:t>
      </w:r>
      <w:r w:rsidRPr="00B52ABA">
        <w:rPr>
          <w:rFonts w:ascii="Times New Roman" w:eastAsia="MS PMincho" w:hAnsi="Times New Roman"/>
          <w:kern w:val="2"/>
          <w:lang w:eastAsia="ja-JP"/>
        </w:rPr>
        <w:lastRenderedPageBreak/>
        <w:t>calibration</w:t>
      </w:r>
      <w:r>
        <w:rPr>
          <w:rFonts w:ascii="Times New Roman" w:eastAsia="MS PMincho" w:hAnsi="Times New Roman"/>
          <w:kern w:val="2"/>
          <w:lang w:eastAsia="ja-JP"/>
        </w:rPr>
        <w:t xml:space="preserve"> for the various radiation components representative to the LHC radiation environment</w:t>
      </w:r>
      <w:r w:rsidRPr="00B52ABA">
        <w:rPr>
          <w:rFonts w:ascii="Times New Roman" w:eastAsia="MS PMincho" w:hAnsi="Times New Roman"/>
          <w:kern w:val="2"/>
          <w:lang w:eastAsia="ja-JP"/>
        </w:rPr>
        <w:t xml:space="preserve">. </w:t>
      </w:r>
    </w:p>
    <w:p w:rsidR="00B52ABA" w:rsidRPr="00B52ABA" w:rsidRDefault="00B52ABA" w:rsidP="00180040">
      <w:pPr>
        <w:pStyle w:val="BodyTextIndent"/>
        <w:spacing w:beforeLines="60"/>
      </w:pPr>
      <w:r w:rsidRPr="00B52ABA">
        <w:rPr>
          <w:noProof/>
          <w:lang w:val="en-US"/>
        </w:rPr>
        <w:drawing>
          <wp:inline distT="0" distB="0" distL="0" distR="0">
            <wp:extent cx="2921639" cy="2203939"/>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17719" cy="2200982"/>
                    </a:xfrm>
                    <a:prstGeom prst="rect">
                      <a:avLst/>
                    </a:prstGeom>
                    <a:noFill/>
                    <a:ln w="9525">
                      <a:noFill/>
                      <a:miter lim="800000"/>
                      <a:headEnd/>
                      <a:tailEnd/>
                    </a:ln>
                  </pic:spPr>
                </pic:pic>
              </a:graphicData>
            </a:graphic>
          </wp:inline>
        </w:drawing>
      </w:r>
    </w:p>
    <w:p w:rsidR="00B52ABA" w:rsidRPr="001C4B55" w:rsidRDefault="00967747" w:rsidP="00180040">
      <w:pPr>
        <w:pStyle w:val="FigureCaption0"/>
        <w:jc w:val="both"/>
        <w:rPr>
          <w:kern w:val="16"/>
        </w:rPr>
      </w:pPr>
      <w:r>
        <w:rPr>
          <w:kern w:val="16"/>
        </w:rPr>
        <w:t xml:space="preserve">Figure 1: </w:t>
      </w:r>
      <w:r w:rsidR="00B52ABA" w:rsidRPr="00967747">
        <w:rPr>
          <w:kern w:val="16"/>
        </w:rPr>
        <w:t xml:space="preserve">CERF layout </w:t>
      </w:r>
      <w:r w:rsidR="00677871">
        <w:rPr>
          <w:kern w:val="16"/>
        </w:rPr>
        <w:t xml:space="preserve">with </w:t>
      </w:r>
      <w:r w:rsidR="00B52ABA" w:rsidRPr="00967747">
        <w:rPr>
          <w:kern w:val="16"/>
        </w:rPr>
        <w:t xml:space="preserve">the copper target </w:t>
      </w:r>
      <w:r w:rsidR="00677871">
        <w:rPr>
          <w:kern w:val="16"/>
        </w:rPr>
        <w:t xml:space="preserve">and the </w:t>
      </w:r>
      <w:r w:rsidR="00B52ABA" w:rsidRPr="00967747">
        <w:rPr>
          <w:kern w:val="16"/>
        </w:rPr>
        <w:t>six measurement positions as used for the measurements.</w:t>
      </w:r>
    </w:p>
    <w:p w:rsidR="00B52ABA" w:rsidRPr="00B52ABA" w:rsidRDefault="00B52ABA" w:rsidP="00180040">
      <w:pPr>
        <w:pStyle w:val="BodyTextIndent"/>
        <w:spacing w:beforeLines="60"/>
      </w:pPr>
      <w:r w:rsidRPr="00B52ABA">
        <w:rPr>
          <w:noProof/>
          <w:lang w:val="en-US"/>
        </w:rPr>
        <w:drawing>
          <wp:inline distT="0" distB="0" distL="0" distR="0">
            <wp:extent cx="3114040" cy="177017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14040" cy="1770175"/>
                    </a:xfrm>
                    <a:prstGeom prst="rect">
                      <a:avLst/>
                    </a:prstGeom>
                    <a:noFill/>
                    <a:ln w="9525">
                      <a:noFill/>
                      <a:miter lim="800000"/>
                      <a:headEnd/>
                      <a:tailEnd/>
                    </a:ln>
                  </pic:spPr>
                </pic:pic>
              </a:graphicData>
            </a:graphic>
          </wp:inline>
        </w:drawing>
      </w:r>
    </w:p>
    <w:p w:rsidR="00B52ABA" w:rsidRPr="00B52ABA" w:rsidRDefault="00B52ABA" w:rsidP="00180040">
      <w:pPr>
        <w:pStyle w:val="FigureCaption0"/>
        <w:jc w:val="both"/>
        <w:rPr>
          <w:kern w:val="16"/>
        </w:rPr>
      </w:pPr>
      <w:r>
        <w:rPr>
          <w:kern w:val="16"/>
        </w:rPr>
        <w:t xml:space="preserve">Figure </w:t>
      </w:r>
      <w:r w:rsidR="00967747">
        <w:rPr>
          <w:kern w:val="16"/>
        </w:rPr>
        <w:t>2</w:t>
      </w:r>
      <w:r>
        <w:rPr>
          <w:kern w:val="16"/>
        </w:rPr>
        <w:t xml:space="preserve">: </w:t>
      </w:r>
      <w:r w:rsidRPr="00B52ABA">
        <w:rPr>
          <w:kern w:val="16"/>
        </w:rPr>
        <w:t xml:space="preserve">High-energy hadron fluence normalized per primary particle of the 120 GeV/c mixed hadron beam particle (60.7% </w:t>
      </w:r>
      <w:r>
        <w:rPr>
          <w:rFonts w:ascii="Symbol" w:hAnsi="Symbol"/>
          <w:kern w:val="16"/>
        </w:rPr>
        <w:t></w:t>
      </w:r>
      <w:r w:rsidRPr="00B52ABA">
        <w:rPr>
          <w:kern w:val="16"/>
        </w:rPr>
        <w:t>+, 34.8% p, 4.5% K+) impinging on the copper target.</w:t>
      </w:r>
    </w:p>
    <w:p w:rsidR="00B52ABA" w:rsidRPr="00B52ABA" w:rsidRDefault="00B52ABA" w:rsidP="00180040">
      <w:pPr>
        <w:pStyle w:val="TableCaption0"/>
        <w:jc w:val="both"/>
        <w:rPr>
          <w:kern w:val="16"/>
        </w:rPr>
      </w:pPr>
      <w:r>
        <w:rPr>
          <w:kern w:val="16"/>
        </w:rPr>
        <w:t xml:space="preserve">Table 2: </w:t>
      </w:r>
      <w:r w:rsidRPr="00B52ABA">
        <w:rPr>
          <w:kern w:val="16"/>
        </w:rPr>
        <w:t xml:space="preserve">Comparison between FLUKA simulation and </w:t>
      </w:r>
      <w:proofErr w:type="spellStart"/>
      <w:r w:rsidRPr="00B52ABA">
        <w:rPr>
          <w:kern w:val="16"/>
        </w:rPr>
        <w:t>RadMon</w:t>
      </w:r>
      <w:proofErr w:type="spellEnd"/>
      <w:r w:rsidRPr="00B52ABA">
        <w:rPr>
          <w:kern w:val="16"/>
        </w:rPr>
        <w:t xml:space="preserve"> </w:t>
      </w:r>
      <w:r w:rsidR="007669DD">
        <w:rPr>
          <w:kern w:val="16"/>
        </w:rPr>
        <w:t xml:space="preserve">(set to 5V) </w:t>
      </w:r>
      <w:r w:rsidRPr="00B52ABA">
        <w:rPr>
          <w:kern w:val="16"/>
        </w:rPr>
        <w:t xml:space="preserve">measurements as performed during the CERF benchmark measurements. Results are </w:t>
      </w:r>
      <w:r w:rsidR="007669DD">
        <w:rPr>
          <w:kern w:val="16"/>
        </w:rPr>
        <w:t xml:space="preserve">given </w:t>
      </w:r>
      <w:r w:rsidRPr="00B52ABA">
        <w:rPr>
          <w:kern w:val="16"/>
        </w:rPr>
        <w:t xml:space="preserve">as high-energy </w:t>
      </w:r>
      <w:proofErr w:type="spellStart"/>
      <w:r w:rsidRPr="00B52ABA">
        <w:rPr>
          <w:kern w:val="16"/>
        </w:rPr>
        <w:t>hadron</w:t>
      </w:r>
      <w:proofErr w:type="spellEnd"/>
      <w:r w:rsidRPr="00B52ABA">
        <w:rPr>
          <w:kern w:val="16"/>
        </w:rPr>
        <w:t xml:space="preserve"> </w:t>
      </w:r>
      <w:proofErr w:type="spellStart"/>
      <w:r w:rsidRPr="00B52ABA">
        <w:rPr>
          <w:kern w:val="16"/>
        </w:rPr>
        <w:t>fluence</w:t>
      </w:r>
      <w:proofErr w:type="spellEnd"/>
      <w:r w:rsidRPr="00B52ABA">
        <w:rPr>
          <w:kern w:val="16"/>
        </w:rPr>
        <w:t xml:space="preserve"> per primary proton impinging on the CERF target. Stated errors are based on counts and calibration uncertainties for the RadMon values, as well as statistical uncertainties for the FLUKA calculations.</w:t>
      </w:r>
    </w:p>
    <w:tbl>
      <w:tblPr>
        <w:tblStyle w:val="TableSimple1"/>
        <w:tblW w:w="5046" w:type="dxa"/>
        <w:tblInd w:w="57" w:type="dxa"/>
        <w:tblCellMar>
          <w:left w:w="0" w:type="dxa"/>
          <w:right w:w="0" w:type="dxa"/>
        </w:tblCellMar>
        <w:tblLook w:val="00A0"/>
      </w:tblPr>
      <w:tblGrid>
        <w:gridCol w:w="909"/>
        <w:gridCol w:w="1842"/>
        <w:gridCol w:w="1749"/>
        <w:gridCol w:w="546"/>
      </w:tblGrid>
      <w:tr w:rsidR="00B52ABA" w:rsidRPr="00B52ABA" w:rsidTr="006A2189">
        <w:trPr>
          <w:cnfStyle w:val="100000000000"/>
        </w:trPr>
        <w:tc>
          <w:tcPr>
            <w:tcW w:w="909" w:type="dxa"/>
            <w:tcBorders>
              <w:top w:val="single" w:sz="8" w:space="0" w:color="auto"/>
              <w:bottom w:val="single" w:sz="4" w:space="0" w:color="auto"/>
            </w:tcBorders>
            <w:vAlign w:val="center"/>
          </w:tcPr>
          <w:p w:rsidR="00B52ABA" w:rsidRPr="00B52ABA" w:rsidRDefault="00B52ABA" w:rsidP="00180040">
            <w:pPr>
              <w:pStyle w:val="BodyText"/>
              <w:spacing w:beforeLines="60" w:line="220" w:lineRule="exact"/>
              <w:jc w:val="center"/>
              <w:rPr>
                <w:rFonts w:ascii="Times New Roman" w:eastAsia="MS Mincho" w:hAnsi="Times New Roman"/>
                <w:bCs/>
                <w:sz w:val="18"/>
                <w:szCs w:val="18"/>
                <w:lang w:eastAsia="ja-JP"/>
              </w:rPr>
            </w:pPr>
            <w:r w:rsidRPr="00B52ABA">
              <w:rPr>
                <w:rFonts w:ascii="Times New Roman" w:hAnsi="Times New Roman"/>
                <w:b/>
                <w:sz w:val="18"/>
                <w:szCs w:val="18"/>
              </w:rPr>
              <w:t>Location</w:t>
            </w:r>
          </w:p>
        </w:tc>
        <w:tc>
          <w:tcPr>
            <w:tcW w:w="1842" w:type="dxa"/>
            <w:tcBorders>
              <w:top w:val="single" w:sz="8" w:space="0" w:color="auto"/>
              <w:bottom w:val="single" w:sz="4" w:space="0" w:color="auto"/>
            </w:tcBorders>
            <w:vAlign w:val="center"/>
          </w:tcPr>
          <w:p w:rsidR="00B52ABA" w:rsidRPr="00B52ABA" w:rsidRDefault="00B52ABA" w:rsidP="00180040">
            <w:pPr>
              <w:spacing w:beforeLines="60"/>
              <w:jc w:val="center"/>
              <w:rPr>
                <w:rFonts w:ascii="Times New Roman" w:hAnsi="Times New Roman"/>
                <w:b/>
                <w:sz w:val="18"/>
                <w:szCs w:val="18"/>
                <w:lang w:eastAsia="en-GB"/>
              </w:rPr>
            </w:pPr>
            <w:r w:rsidRPr="00B52ABA">
              <w:rPr>
                <w:rFonts w:ascii="Times New Roman" w:hAnsi="Times New Roman"/>
                <w:b/>
                <w:sz w:val="18"/>
                <w:szCs w:val="18"/>
                <w:lang w:eastAsia="en-GB"/>
              </w:rPr>
              <w:t>RadMon [Error]</w:t>
            </w:r>
          </w:p>
        </w:tc>
        <w:tc>
          <w:tcPr>
            <w:tcW w:w="1749" w:type="dxa"/>
            <w:tcBorders>
              <w:top w:val="single" w:sz="8" w:space="0" w:color="auto"/>
              <w:bottom w:val="single" w:sz="4" w:space="0" w:color="auto"/>
            </w:tcBorders>
            <w:vAlign w:val="center"/>
          </w:tcPr>
          <w:p w:rsidR="00B52ABA" w:rsidRPr="00B52ABA" w:rsidRDefault="00B52ABA" w:rsidP="00180040">
            <w:pPr>
              <w:pStyle w:val="BodyTextIndent"/>
              <w:spacing w:beforeLines="60"/>
              <w:jc w:val="center"/>
              <w:rPr>
                <w:b/>
                <w:sz w:val="18"/>
                <w:szCs w:val="18"/>
              </w:rPr>
            </w:pPr>
            <w:r w:rsidRPr="00B52ABA">
              <w:rPr>
                <w:b/>
                <w:sz w:val="18"/>
                <w:szCs w:val="18"/>
                <w:lang w:eastAsia="en-GB"/>
              </w:rPr>
              <w:t>FLUKA [Error]</w:t>
            </w:r>
          </w:p>
        </w:tc>
        <w:tc>
          <w:tcPr>
            <w:tcW w:w="546" w:type="dxa"/>
            <w:tcBorders>
              <w:top w:val="single" w:sz="8" w:space="0" w:color="auto"/>
              <w:bottom w:val="single" w:sz="4" w:space="0" w:color="auto"/>
            </w:tcBorders>
            <w:vAlign w:val="center"/>
          </w:tcPr>
          <w:p w:rsidR="00B52ABA" w:rsidRPr="00B52ABA" w:rsidRDefault="00B52ABA" w:rsidP="00180040">
            <w:pPr>
              <w:pStyle w:val="BodyTextIndent"/>
              <w:spacing w:beforeLines="60"/>
              <w:ind w:left="34"/>
              <w:jc w:val="center"/>
              <w:rPr>
                <w:b/>
                <w:sz w:val="18"/>
                <w:szCs w:val="18"/>
              </w:rPr>
            </w:pPr>
            <w:r w:rsidRPr="00B52ABA">
              <w:rPr>
                <w:b/>
                <w:sz w:val="18"/>
                <w:szCs w:val="18"/>
                <w:lang w:eastAsia="en-GB"/>
              </w:rPr>
              <w:t>Ratio (R/F)</w:t>
            </w:r>
          </w:p>
        </w:tc>
      </w:tr>
      <w:tr w:rsidR="00B52ABA" w:rsidRPr="00B52ABA" w:rsidTr="006A2189">
        <w:tc>
          <w:tcPr>
            <w:tcW w:w="90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b/>
                <w:sz w:val="18"/>
                <w:szCs w:val="18"/>
                <w:lang w:eastAsia="en-GB"/>
              </w:rPr>
            </w:pPr>
            <w:r w:rsidRPr="00B52ABA">
              <w:rPr>
                <w:rFonts w:ascii="Times New Roman" w:hAnsi="Times New Roman"/>
                <w:b/>
                <w:sz w:val="18"/>
                <w:szCs w:val="18"/>
                <w:lang w:eastAsia="en-GB"/>
              </w:rPr>
              <w:t>Pos1</w:t>
            </w:r>
          </w:p>
        </w:tc>
        <w:tc>
          <w:tcPr>
            <w:tcW w:w="1842"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3.77 x 10</w:t>
            </w:r>
            <w:r w:rsidRPr="00B52ABA">
              <w:rPr>
                <w:rFonts w:ascii="Times New Roman" w:hAnsi="Times New Roman"/>
                <w:szCs w:val="18"/>
                <w:vertAlign w:val="superscript"/>
                <w:lang w:eastAsia="en-GB"/>
              </w:rPr>
              <w:t>-4</w:t>
            </w:r>
            <w:r w:rsidRPr="00B52ABA">
              <w:rPr>
                <w:rFonts w:ascii="Times New Roman" w:hAnsi="Times New Roman"/>
                <w:szCs w:val="18"/>
                <w:lang w:eastAsia="en-GB"/>
              </w:rPr>
              <w:t xml:space="preserve"> </w:t>
            </w:r>
            <w:r w:rsidRPr="00B52ABA">
              <w:rPr>
                <w:rFonts w:ascii="Times New Roman" w:hAnsi="Times New Roman"/>
                <w:sz w:val="18"/>
                <w:szCs w:val="18"/>
                <w:lang w:eastAsia="en-GB"/>
              </w:rPr>
              <w:t>[20.0%]</w:t>
            </w:r>
          </w:p>
        </w:tc>
        <w:tc>
          <w:tcPr>
            <w:tcW w:w="174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4.17 x 10</w:t>
            </w:r>
            <w:r w:rsidRPr="00B52ABA">
              <w:rPr>
                <w:rFonts w:ascii="Times New Roman" w:hAnsi="Times New Roman"/>
                <w:szCs w:val="18"/>
                <w:vertAlign w:val="superscript"/>
                <w:lang w:val="fr-FR" w:eastAsia="en-GB"/>
              </w:rPr>
              <w:t xml:space="preserve">--4 </w:t>
            </w:r>
            <w:r w:rsidRPr="00B52ABA">
              <w:rPr>
                <w:rFonts w:ascii="Times New Roman" w:hAnsi="Times New Roman"/>
                <w:szCs w:val="18"/>
                <w:lang w:val="fr-FR" w:eastAsia="en-GB"/>
              </w:rPr>
              <w:t>[5.1%]</w:t>
            </w:r>
          </w:p>
        </w:tc>
        <w:tc>
          <w:tcPr>
            <w:tcW w:w="546"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0.90</w:t>
            </w:r>
          </w:p>
        </w:tc>
      </w:tr>
      <w:tr w:rsidR="00B52ABA" w:rsidRPr="00B52ABA" w:rsidTr="006A2189">
        <w:tc>
          <w:tcPr>
            <w:tcW w:w="90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b/>
                <w:sz w:val="18"/>
                <w:szCs w:val="18"/>
                <w:lang w:val="fr-FR" w:eastAsia="en-GB"/>
              </w:rPr>
            </w:pPr>
            <w:r w:rsidRPr="00B52ABA">
              <w:rPr>
                <w:rFonts w:ascii="Times New Roman" w:hAnsi="Times New Roman"/>
                <w:b/>
                <w:sz w:val="18"/>
                <w:szCs w:val="18"/>
                <w:lang w:val="fr-FR" w:eastAsia="en-GB"/>
              </w:rPr>
              <w:t>Pos2</w:t>
            </w:r>
          </w:p>
        </w:tc>
        <w:tc>
          <w:tcPr>
            <w:tcW w:w="1842"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5.76 x 10</w:t>
            </w:r>
            <w:r w:rsidRPr="00B52ABA">
              <w:rPr>
                <w:rFonts w:ascii="Times New Roman" w:hAnsi="Times New Roman"/>
                <w:szCs w:val="18"/>
                <w:vertAlign w:val="superscript"/>
                <w:lang w:val="fr-FR" w:eastAsia="en-GB"/>
              </w:rPr>
              <w:t xml:space="preserve">-4 </w:t>
            </w:r>
            <w:r w:rsidRPr="00B52ABA">
              <w:rPr>
                <w:rFonts w:ascii="Times New Roman" w:hAnsi="Times New Roman"/>
                <w:sz w:val="18"/>
                <w:szCs w:val="18"/>
                <w:lang w:val="fr-FR" w:eastAsia="en-GB"/>
              </w:rPr>
              <w:t>[20.0%]</w:t>
            </w:r>
          </w:p>
        </w:tc>
        <w:tc>
          <w:tcPr>
            <w:tcW w:w="174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5.76 x 10</w:t>
            </w:r>
            <w:r w:rsidRPr="00B52ABA">
              <w:rPr>
                <w:rFonts w:ascii="Times New Roman" w:hAnsi="Times New Roman"/>
                <w:szCs w:val="18"/>
                <w:vertAlign w:val="superscript"/>
                <w:lang w:val="fr-FR" w:eastAsia="en-GB"/>
              </w:rPr>
              <w:t xml:space="preserve">-4 </w:t>
            </w:r>
            <w:r w:rsidRPr="00B52ABA">
              <w:rPr>
                <w:rFonts w:ascii="Times New Roman" w:hAnsi="Times New Roman"/>
                <w:szCs w:val="18"/>
                <w:lang w:val="fr-FR" w:eastAsia="en-GB"/>
              </w:rPr>
              <w:t>[4.6%]</w:t>
            </w:r>
          </w:p>
        </w:tc>
        <w:tc>
          <w:tcPr>
            <w:tcW w:w="546"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1.00</w:t>
            </w:r>
          </w:p>
        </w:tc>
      </w:tr>
      <w:tr w:rsidR="00B52ABA" w:rsidRPr="00B52ABA" w:rsidTr="006A2189">
        <w:tc>
          <w:tcPr>
            <w:tcW w:w="90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b/>
                <w:sz w:val="18"/>
                <w:szCs w:val="18"/>
                <w:lang w:val="fr-FR" w:eastAsia="en-GB"/>
              </w:rPr>
            </w:pPr>
            <w:r w:rsidRPr="00B52ABA">
              <w:rPr>
                <w:rFonts w:ascii="Times New Roman" w:hAnsi="Times New Roman"/>
                <w:b/>
                <w:sz w:val="18"/>
                <w:szCs w:val="18"/>
                <w:lang w:val="fr-FR" w:eastAsia="en-GB"/>
              </w:rPr>
              <w:t>Pos3</w:t>
            </w:r>
          </w:p>
        </w:tc>
        <w:tc>
          <w:tcPr>
            <w:tcW w:w="1842"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1.99 x 10</w:t>
            </w:r>
            <w:r w:rsidRPr="00B52ABA">
              <w:rPr>
                <w:rFonts w:ascii="Times New Roman" w:hAnsi="Times New Roman"/>
                <w:szCs w:val="18"/>
                <w:vertAlign w:val="superscript"/>
                <w:lang w:val="fr-FR" w:eastAsia="en-GB"/>
              </w:rPr>
              <w:t xml:space="preserve">-3 </w:t>
            </w:r>
            <w:r w:rsidRPr="00B52ABA">
              <w:rPr>
                <w:rFonts w:ascii="Times New Roman" w:hAnsi="Times New Roman"/>
                <w:sz w:val="18"/>
                <w:szCs w:val="18"/>
                <w:lang w:val="fr-FR" w:eastAsia="en-GB"/>
              </w:rPr>
              <w:t>[20.0%]</w:t>
            </w:r>
          </w:p>
        </w:tc>
        <w:tc>
          <w:tcPr>
            <w:tcW w:w="174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1.97 x 10</w:t>
            </w:r>
            <w:r w:rsidRPr="00B52ABA">
              <w:rPr>
                <w:rFonts w:ascii="Times New Roman" w:hAnsi="Times New Roman"/>
                <w:szCs w:val="18"/>
                <w:vertAlign w:val="superscript"/>
                <w:lang w:val="fr-FR" w:eastAsia="en-GB"/>
              </w:rPr>
              <w:t xml:space="preserve">-3 </w:t>
            </w:r>
            <w:r w:rsidRPr="00B52ABA">
              <w:rPr>
                <w:rFonts w:ascii="Times New Roman" w:hAnsi="Times New Roman"/>
                <w:szCs w:val="18"/>
                <w:lang w:val="fr-FR" w:eastAsia="en-GB"/>
              </w:rPr>
              <w:t>[2.8%]</w:t>
            </w:r>
          </w:p>
        </w:tc>
        <w:tc>
          <w:tcPr>
            <w:tcW w:w="546"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1.04</w:t>
            </w:r>
          </w:p>
        </w:tc>
      </w:tr>
      <w:tr w:rsidR="00B52ABA" w:rsidRPr="00B52ABA" w:rsidTr="006A2189">
        <w:tc>
          <w:tcPr>
            <w:tcW w:w="90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b/>
                <w:sz w:val="18"/>
                <w:szCs w:val="18"/>
                <w:lang w:val="fr-FR" w:eastAsia="en-GB"/>
              </w:rPr>
            </w:pPr>
            <w:r w:rsidRPr="00B52ABA">
              <w:rPr>
                <w:rFonts w:ascii="Times New Roman" w:hAnsi="Times New Roman"/>
                <w:b/>
                <w:sz w:val="18"/>
                <w:szCs w:val="18"/>
                <w:lang w:val="fr-FR" w:eastAsia="en-GB"/>
              </w:rPr>
              <w:t>Pos4</w:t>
            </w:r>
          </w:p>
        </w:tc>
        <w:tc>
          <w:tcPr>
            <w:tcW w:w="1842"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val="fr-FR" w:eastAsia="en-GB"/>
              </w:rPr>
            </w:pPr>
            <w:r w:rsidRPr="00B52ABA">
              <w:rPr>
                <w:rFonts w:ascii="Times New Roman" w:hAnsi="Times New Roman"/>
                <w:szCs w:val="18"/>
                <w:lang w:val="fr-FR" w:eastAsia="en-GB"/>
              </w:rPr>
              <w:t>1.75 x 10</w:t>
            </w:r>
            <w:r w:rsidRPr="00B52ABA">
              <w:rPr>
                <w:rFonts w:ascii="Times New Roman" w:hAnsi="Times New Roman"/>
                <w:szCs w:val="18"/>
                <w:vertAlign w:val="superscript"/>
                <w:lang w:val="fr-FR" w:eastAsia="en-GB"/>
              </w:rPr>
              <w:t xml:space="preserve">-3 </w:t>
            </w:r>
            <w:r w:rsidRPr="00B52ABA">
              <w:rPr>
                <w:rFonts w:ascii="Times New Roman" w:hAnsi="Times New Roman"/>
                <w:szCs w:val="18"/>
                <w:lang w:val="fr-FR" w:eastAsia="en-GB"/>
              </w:rPr>
              <w:t>[20.0%]</w:t>
            </w:r>
          </w:p>
        </w:tc>
        <w:tc>
          <w:tcPr>
            <w:tcW w:w="174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1.71 x 10</w:t>
            </w:r>
            <w:r w:rsidRPr="00B52ABA">
              <w:rPr>
                <w:rFonts w:ascii="Times New Roman" w:hAnsi="Times New Roman"/>
                <w:szCs w:val="18"/>
                <w:vertAlign w:val="superscript"/>
                <w:lang w:eastAsia="en-GB"/>
              </w:rPr>
              <w:t xml:space="preserve">-3 </w:t>
            </w:r>
            <w:r w:rsidRPr="00B52ABA">
              <w:rPr>
                <w:rFonts w:ascii="Times New Roman" w:hAnsi="Times New Roman"/>
                <w:szCs w:val="18"/>
                <w:lang w:eastAsia="en-GB"/>
              </w:rPr>
              <w:t>[3.4%]</w:t>
            </w:r>
          </w:p>
        </w:tc>
        <w:tc>
          <w:tcPr>
            <w:tcW w:w="546"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1.02</w:t>
            </w:r>
          </w:p>
        </w:tc>
      </w:tr>
      <w:tr w:rsidR="00B52ABA" w:rsidRPr="00B52ABA" w:rsidTr="006A2189">
        <w:tc>
          <w:tcPr>
            <w:tcW w:w="90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b/>
                <w:sz w:val="18"/>
                <w:szCs w:val="18"/>
                <w:lang w:eastAsia="en-GB"/>
              </w:rPr>
            </w:pPr>
            <w:r w:rsidRPr="00B52ABA">
              <w:rPr>
                <w:rFonts w:ascii="Times New Roman" w:hAnsi="Times New Roman"/>
                <w:b/>
                <w:sz w:val="18"/>
                <w:szCs w:val="18"/>
                <w:lang w:eastAsia="en-GB"/>
              </w:rPr>
              <w:t>Pos5</w:t>
            </w:r>
          </w:p>
        </w:tc>
        <w:tc>
          <w:tcPr>
            <w:tcW w:w="1842"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1.53 x 10</w:t>
            </w:r>
            <w:r w:rsidRPr="00B52ABA">
              <w:rPr>
                <w:rFonts w:ascii="Times New Roman" w:hAnsi="Times New Roman"/>
                <w:szCs w:val="18"/>
                <w:vertAlign w:val="superscript"/>
                <w:lang w:eastAsia="en-GB"/>
              </w:rPr>
              <w:t xml:space="preserve">-3 </w:t>
            </w:r>
            <w:r w:rsidRPr="00B52ABA">
              <w:rPr>
                <w:rFonts w:ascii="Times New Roman" w:hAnsi="Times New Roman"/>
                <w:sz w:val="18"/>
                <w:szCs w:val="18"/>
                <w:lang w:eastAsia="en-GB"/>
              </w:rPr>
              <w:t>[20.0%]</w:t>
            </w:r>
          </w:p>
        </w:tc>
        <w:tc>
          <w:tcPr>
            <w:tcW w:w="174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1.67 x 10</w:t>
            </w:r>
            <w:r w:rsidRPr="00B52ABA">
              <w:rPr>
                <w:rFonts w:ascii="Times New Roman" w:hAnsi="Times New Roman"/>
                <w:szCs w:val="18"/>
                <w:vertAlign w:val="superscript"/>
                <w:lang w:eastAsia="en-GB"/>
              </w:rPr>
              <w:t xml:space="preserve">-3 </w:t>
            </w:r>
            <w:r w:rsidRPr="00B52ABA">
              <w:rPr>
                <w:rFonts w:ascii="Times New Roman" w:hAnsi="Times New Roman"/>
                <w:szCs w:val="18"/>
                <w:lang w:eastAsia="en-GB"/>
              </w:rPr>
              <w:t>[3.2%]</w:t>
            </w:r>
          </w:p>
        </w:tc>
        <w:tc>
          <w:tcPr>
            <w:tcW w:w="546"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0.92</w:t>
            </w:r>
          </w:p>
        </w:tc>
      </w:tr>
      <w:tr w:rsidR="00B52ABA" w:rsidRPr="00B52ABA" w:rsidTr="006A2189">
        <w:tc>
          <w:tcPr>
            <w:tcW w:w="90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b/>
                <w:sz w:val="18"/>
                <w:szCs w:val="18"/>
                <w:lang w:eastAsia="en-GB"/>
              </w:rPr>
            </w:pPr>
            <w:r w:rsidRPr="00B52ABA">
              <w:rPr>
                <w:rFonts w:ascii="Times New Roman" w:hAnsi="Times New Roman"/>
                <w:b/>
                <w:sz w:val="18"/>
                <w:szCs w:val="18"/>
                <w:lang w:eastAsia="en-GB"/>
              </w:rPr>
              <w:t>Pos6</w:t>
            </w:r>
          </w:p>
        </w:tc>
        <w:tc>
          <w:tcPr>
            <w:tcW w:w="1842"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2.19 x 10</w:t>
            </w:r>
            <w:r w:rsidRPr="00B52ABA">
              <w:rPr>
                <w:rFonts w:ascii="Times New Roman" w:hAnsi="Times New Roman"/>
                <w:szCs w:val="18"/>
                <w:vertAlign w:val="superscript"/>
                <w:lang w:eastAsia="en-GB"/>
              </w:rPr>
              <w:t xml:space="preserve">-3 </w:t>
            </w:r>
            <w:r w:rsidRPr="00B52ABA">
              <w:rPr>
                <w:rFonts w:ascii="Times New Roman" w:hAnsi="Times New Roman"/>
                <w:szCs w:val="18"/>
                <w:lang w:eastAsia="en-GB"/>
              </w:rPr>
              <w:t>[20.0%]</w:t>
            </w:r>
          </w:p>
        </w:tc>
        <w:tc>
          <w:tcPr>
            <w:tcW w:w="1749"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2.19 x 10</w:t>
            </w:r>
            <w:r w:rsidRPr="00B52ABA">
              <w:rPr>
                <w:rFonts w:ascii="Times New Roman" w:hAnsi="Times New Roman"/>
                <w:szCs w:val="18"/>
                <w:vertAlign w:val="superscript"/>
                <w:lang w:eastAsia="en-GB"/>
              </w:rPr>
              <w:t xml:space="preserve">-3 </w:t>
            </w:r>
            <w:r w:rsidRPr="00B52ABA">
              <w:rPr>
                <w:rFonts w:ascii="Times New Roman" w:hAnsi="Times New Roman"/>
                <w:szCs w:val="18"/>
                <w:lang w:eastAsia="en-GB"/>
              </w:rPr>
              <w:t>[2.9%]</w:t>
            </w:r>
          </w:p>
        </w:tc>
        <w:tc>
          <w:tcPr>
            <w:tcW w:w="546" w:type="dxa"/>
            <w:tcBorders>
              <w:top w:val="single" w:sz="4" w:space="0" w:color="auto"/>
              <w:bottom w:val="single" w:sz="8" w:space="0" w:color="auto"/>
            </w:tcBorders>
            <w:vAlign w:val="center"/>
          </w:tcPr>
          <w:p w:rsidR="00B52ABA" w:rsidRPr="00B52ABA" w:rsidRDefault="00B52ABA" w:rsidP="00180040">
            <w:pPr>
              <w:spacing w:beforeLines="60"/>
              <w:jc w:val="center"/>
              <w:rPr>
                <w:rFonts w:ascii="Times New Roman" w:hAnsi="Times New Roman"/>
                <w:szCs w:val="18"/>
                <w:lang w:eastAsia="en-GB"/>
              </w:rPr>
            </w:pPr>
            <w:r w:rsidRPr="00B52ABA">
              <w:rPr>
                <w:rFonts w:ascii="Times New Roman" w:hAnsi="Times New Roman"/>
                <w:szCs w:val="18"/>
                <w:lang w:eastAsia="en-GB"/>
              </w:rPr>
              <w:t>1.00</w:t>
            </w:r>
          </w:p>
        </w:tc>
      </w:tr>
    </w:tbl>
    <w:p w:rsidR="00B52ABA" w:rsidRPr="00B52ABA" w:rsidRDefault="00B52ABA" w:rsidP="00180040">
      <w:pPr>
        <w:spacing w:beforeLines="60" w:line="240" w:lineRule="exact"/>
        <w:ind w:firstLine="227"/>
        <w:rPr>
          <w:rFonts w:ascii="Times New Roman" w:hAnsi="Times New Roman"/>
          <w:kern w:val="16"/>
        </w:rPr>
      </w:pPr>
      <w:r w:rsidRPr="00B52ABA">
        <w:rPr>
          <w:rFonts w:ascii="Times New Roman" w:eastAsia="MS PMincho" w:hAnsi="Times New Roman"/>
          <w:kern w:val="2"/>
          <w:lang w:eastAsia="ja-JP"/>
        </w:rPr>
        <w:lastRenderedPageBreak/>
        <w:t xml:space="preserve">During the CERF experiment these RadMons were </w:t>
      </w:r>
      <w:r w:rsidR="00967747">
        <w:rPr>
          <w:rFonts w:ascii="Times New Roman" w:eastAsia="MS PMincho" w:hAnsi="Times New Roman"/>
          <w:kern w:val="2"/>
          <w:lang w:eastAsia="ja-JP"/>
        </w:rPr>
        <w:t>displaced</w:t>
      </w:r>
      <w:r w:rsidRPr="00B52ABA">
        <w:rPr>
          <w:rFonts w:ascii="Times New Roman" w:eastAsia="MS PMincho" w:hAnsi="Times New Roman"/>
          <w:kern w:val="2"/>
          <w:lang w:eastAsia="ja-JP"/>
        </w:rPr>
        <w:t xml:space="preserve"> between the different measurement positions to study their response in the various mixed radiation field which are representative for the LHC. For the same setup FLUKA simulations were performed including all relevant details (geometry, materials, source term, etc…). For all measurement locations the total ionizing dose, 1 MeV neutron equivalent and high-energy hadron fluence, as well as the particle energy spectra for the various types of particles were calculated. A horizontal cut through the layout and its respective high-energy hadron (&gt;20 MeV) radiation field can be seen in </w:t>
      </w:r>
      <w:r w:rsidR="00967747">
        <w:rPr>
          <w:rFonts w:ascii="Times New Roman" w:eastAsia="MS PMincho" w:hAnsi="Times New Roman"/>
          <w:kern w:val="2"/>
          <w:lang w:eastAsia="ja-JP"/>
        </w:rPr>
        <w:t>Figure</w:t>
      </w:r>
      <w:r w:rsidR="007669DD">
        <w:rPr>
          <w:rFonts w:ascii="Times New Roman" w:eastAsia="MS PMincho" w:hAnsi="Times New Roman"/>
          <w:kern w:val="2"/>
          <w:lang w:eastAsia="ja-JP"/>
        </w:rPr>
        <w:t>s</w:t>
      </w:r>
      <w:r w:rsidR="00967747">
        <w:rPr>
          <w:rFonts w:ascii="Times New Roman" w:eastAsia="MS PMincho" w:hAnsi="Times New Roman"/>
          <w:kern w:val="2"/>
          <w:lang w:eastAsia="ja-JP"/>
        </w:rPr>
        <w:t xml:space="preserve"> </w:t>
      </w:r>
      <w:r w:rsidR="007669DD">
        <w:rPr>
          <w:rFonts w:ascii="Times New Roman" w:eastAsia="MS PMincho" w:hAnsi="Times New Roman"/>
          <w:kern w:val="2"/>
          <w:lang w:eastAsia="ja-JP"/>
        </w:rPr>
        <w:t>1 and 2</w:t>
      </w:r>
      <w:r w:rsidR="00967747">
        <w:rPr>
          <w:rFonts w:ascii="Times New Roman" w:eastAsia="MS PMincho" w:hAnsi="Times New Roman"/>
          <w:kern w:val="2"/>
          <w:lang w:eastAsia="ja-JP"/>
        </w:rPr>
        <w:t xml:space="preserve">. </w:t>
      </w:r>
      <w:r w:rsidRPr="00B52ABA">
        <w:rPr>
          <w:rFonts w:ascii="Times New Roman" w:eastAsia="MS PMincho" w:hAnsi="Times New Roman"/>
          <w:kern w:val="2"/>
          <w:lang w:eastAsia="ja-JP"/>
        </w:rPr>
        <w:t>The measured data and the FLUKA calculations at the different measurement positions were compared as shown in</w:t>
      </w:r>
      <w:r w:rsidR="00967747">
        <w:rPr>
          <w:rFonts w:ascii="Times New Roman" w:eastAsia="MS PMincho" w:hAnsi="Times New Roman"/>
          <w:kern w:val="2"/>
          <w:lang w:eastAsia="ja-JP"/>
        </w:rPr>
        <w:t xml:space="preserve"> Table 2</w:t>
      </w:r>
      <w:r w:rsidRPr="00B52ABA">
        <w:rPr>
          <w:rFonts w:ascii="Times New Roman" w:eastAsia="MS PMincho" w:hAnsi="Times New Roman"/>
          <w:kern w:val="2"/>
          <w:lang w:eastAsia="ja-JP"/>
        </w:rPr>
        <w:t xml:space="preserve"> and a very good agreement was obtained.</w:t>
      </w:r>
    </w:p>
    <w:p w:rsidR="00B52ABA" w:rsidRDefault="00B52ABA" w:rsidP="00B52ABA">
      <w:pPr>
        <w:pStyle w:val="BulletedList"/>
        <w:numPr>
          <w:ilvl w:val="0"/>
          <w:numId w:val="0"/>
        </w:numPr>
        <w:ind w:left="187"/>
        <w:rPr>
          <w:kern w:val="16"/>
        </w:rPr>
      </w:pPr>
    </w:p>
    <w:p w:rsidR="008F0ED6" w:rsidRPr="008F0ED6" w:rsidRDefault="008F0ED6" w:rsidP="008F0ED6">
      <w:pPr>
        <w:pStyle w:val="Heading3"/>
        <w:rPr>
          <w:kern w:val="16"/>
        </w:rPr>
      </w:pPr>
      <w:r>
        <w:rPr>
          <w:kern w:val="16"/>
        </w:rPr>
        <w:t xml:space="preserve">(2) </w:t>
      </w:r>
      <w:r w:rsidRPr="008F0ED6">
        <w:rPr>
          <w:kern w:val="16"/>
        </w:rPr>
        <w:t xml:space="preserve">LHC </w:t>
      </w:r>
      <w:r w:rsidR="001C4B55">
        <w:rPr>
          <w:kern w:val="16"/>
        </w:rPr>
        <w:t xml:space="preserve">Application </w:t>
      </w:r>
      <w:r w:rsidRPr="008F0ED6">
        <w:rPr>
          <w:kern w:val="16"/>
        </w:rPr>
        <w:t>Benchmark during Injection Tests</w:t>
      </w:r>
    </w:p>
    <w:p w:rsidR="008F0ED6" w:rsidRDefault="008F0ED6" w:rsidP="00180040">
      <w:pPr>
        <w:spacing w:beforeLines="60" w:line="240" w:lineRule="exact"/>
        <w:ind w:firstLine="227"/>
        <w:rPr>
          <w:rFonts w:eastAsia="MS PMincho"/>
          <w:kern w:val="2"/>
          <w:lang w:eastAsia="ja-JP"/>
        </w:rPr>
      </w:pPr>
      <w:r>
        <w:rPr>
          <w:rFonts w:eastAsia="MS PMincho"/>
          <w:kern w:val="2"/>
          <w:lang w:eastAsia="ja-JP"/>
        </w:rPr>
        <w:t>Profiting from the controlled and known particle losses d</w:t>
      </w:r>
      <w:r w:rsidRPr="00B068A5">
        <w:rPr>
          <w:rFonts w:eastAsia="MS PMincho"/>
          <w:kern w:val="2"/>
          <w:lang w:eastAsia="ja-JP"/>
        </w:rPr>
        <w:t>uring LHC injection tests</w:t>
      </w:r>
      <w:r>
        <w:rPr>
          <w:rFonts w:eastAsia="MS PMincho"/>
          <w:kern w:val="2"/>
          <w:lang w:eastAsia="ja-JP"/>
        </w:rPr>
        <w:t>,</w:t>
      </w:r>
      <w:r w:rsidRPr="00B068A5">
        <w:rPr>
          <w:rFonts w:eastAsia="MS PMincho"/>
          <w:kern w:val="2"/>
          <w:lang w:eastAsia="ja-JP"/>
        </w:rPr>
        <w:t xml:space="preserve"> monitor readings </w:t>
      </w:r>
      <w:r>
        <w:rPr>
          <w:rFonts w:eastAsia="MS PMincho"/>
          <w:kern w:val="2"/>
          <w:lang w:eastAsia="ja-JP"/>
        </w:rPr>
        <w:t>of RadMon detectors were analyz</w:t>
      </w:r>
      <w:r w:rsidRPr="00B068A5">
        <w:rPr>
          <w:rFonts w:eastAsia="MS PMincho"/>
          <w:kern w:val="2"/>
          <w:lang w:eastAsia="ja-JP"/>
        </w:rPr>
        <w:t>ed and compared to respective FLUKA simulation results</w:t>
      </w:r>
      <w:r>
        <w:rPr>
          <w:rFonts w:eastAsia="MS PMincho"/>
          <w:kern w:val="2"/>
          <w:lang w:eastAsia="ja-JP"/>
        </w:rPr>
        <w:t>. The complex layout (see Figure 3) of this injection section into the LHC (more than 100m long) allowed for a detailed practical benchmark in order to verify the FLUKA predictions made for dedicated measurements.</w:t>
      </w:r>
    </w:p>
    <w:p w:rsidR="008F0ED6" w:rsidRDefault="008F0ED6" w:rsidP="00180040">
      <w:pPr>
        <w:pStyle w:val="BodyTextIndent"/>
        <w:spacing w:beforeLines="60"/>
        <w:ind w:firstLine="0"/>
      </w:pPr>
      <w:r>
        <w:rPr>
          <w:rFonts w:ascii="Consolas" w:hAnsi="Consolas" w:cs="Consolas"/>
          <w:noProof/>
          <w:sz w:val="21"/>
          <w:szCs w:val="21"/>
          <w:lang w:val="en-US"/>
        </w:rPr>
        <w:drawing>
          <wp:inline distT="0" distB="0" distL="0" distR="0">
            <wp:extent cx="2817456" cy="1673369"/>
            <wp:effectExtent l="19050" t="0" r="1944" b="0"/>
            <wp:docPr id="14" name="Picture 1" descr="cid:image001.png@01CB50D3.BE04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B50D3.BE041050"/>
                    <pic:cNvPicPr>
                      <a:picLocks noChangeAspect="1" noChangeArrowheads="1"/>
                    </pic:cNvPicPr>
                  </pic:nvPicPr>
                  <pic:blipFill>
                    <a:blip r:embed="rId12" r:link="rId13" cstate="print"/>
                    <a:srcRect/>
                    <a:stretch>
                      <a:fillRect/>
                    </a:stretch>
                  </pic:blipFill>
                  <pic:spPr bwMode="auto">
                    <a:xfrm>
                      <a:off x="0" y="0"/>
                      <a:ext cx="2817456" cy="1673369"/>
                    </a:xfrm>
                    <a:prstGeom prst="rect">
                      <a:avLst/>
                    </a:prstGeom>
                    <a:noFill/>
                    <a:ln w="9525">
                      <a:noFill/>
                      <a:miter lim="800000"/>
                      <a:headEnd/>
                      <a:tailEnd/>
                    </a:ln>
                  </pic:spPr>
                </pic:pic>
              </a:graphicData>
            </a:graphic>
          </wp:inline>
        </w:drawing>
      </w:r>
    </w:p>
    <w:p w:rsidR="008F0ED6" w:rsidRPr="008F0ED6" w:rsidRDefault="008F0ED6" w:rsidP="00180040">
      <w:pPr>
        <w:pStyle w:val="FigureCaption0"/>
        <w:jc w:val="both"/>
        <w:rPr>
          <w:kern w:val="16"/>
        </w:rPr>
      </w:pPr>
      <w:r>
        <w:rPr>
          <w:kern w:val="16"/>
        </w:rPr>
        <w:t xml:space="preserve">Figure 3: </w:t>
      </w:r>
      <w:r w:rsidRPr="008F0ED6">
        <w:rPr>
          <w:kern w:val="16"/>
        </w:rPr>
        <w:t>Layout of the LHC injection line where it enters the LHC tunnel and as implemented in FLUKA. In addition, the various monitor locations are shown</w:t>
      </w:r>
      <w:r w:rsidRPr="008F0ED6">
        <w:rPr>
          <w:rFonts w:hint="eastAsia"/>
          <w:kern w:val="16"/>
        </w:rPr>
        <w:t>.</w:t>
      </w:r>
    </w:p>
    <w:p w:rsidR="008F0ED6" w:rsidRPr="00842354" w:rsidRDefault="008F0ED6" w:rsidP="00180040">
      <w:pPr>
        <w:spacing w:beforeLines="60" w:line="240" w:lineRule="exact"/>
        <w:ind w:firstLine="227"/>
        <w:rPr>
          <w:rFonts w:eastAsia="MS PMincho"/>
          <w:kern w:val="2"/>
          <w:lang w:eastAsia="ja-JP"/>
        </w:rPr>
      </w:pPr>
      <w:r>
        <w:rPr>
          <w:rFonts w:eastAsia="MS PMincho"/>
          <w:kern w:val="2"/>
          <w:lang w:eastAsia="ja-JP"/>
        </w:rPr>
        <w:t xml:space="preserve">During the first benchmark the RadMon was placed directly behind the injection dump (TED) which is situated at the end of the LHC injection line. The TED can be moved into the beam in order to allow for setup and tuning studies to be carried out in the injection line without bringing beam into the LHC. This allows for an ideal benchmarking setup where the loss term (number of protons impinging on the TED) </w:t>
      </w:r>
      <w:r w:rsidR="00706BF5">
        <w:rPr>
          <w:rFonts w:eastAsia="MS PMincho"/>
          <w:kern w:val="2"/>
          <w:lang w:eastAsia="ja-JP"/>
        </w:rPr>
        <w:t>is</w:t>
      </w:r>
      <w:r>
        <w:rPr>
          <w:rFonts w:eastAsia="MS PMincho"/>
          <w:kern w:val="2"/>
          <w:lang w:eastAsia="ja-JP"/>
        </w:rPr>
        <w:t xml:space="preserve"> known in all details. The high-energy hadron fluence distribution as well as the successful comparison between measurements and simulations are shown in Figure 4 and Table 3</w:t>
      </w:r>
      <w:r w:rsidRPr="00B068A5">
        <w:rPr>
          <w:rFonts w:eastAsia="MS PMincho"/>
          <w:kern w:val="2"/>
          <w:lang w:eastAsia="ja-JP"/>
        </w:rPr>
        <w:t xml:space="preserve">. </w:t>
      </w:r>
    </w:p>
    <w:p w:rsidR="008F0ED6" w:rsidRDefault="008F0ED6" w:rsidP="00180040">
      <w:pPr>
        <w:pStyle w:val="BodyTextIndent"/>
        <w:spacing w:beforeLines="60"/>
      </w:pPr>
      <w:r>
        <w:rPr>
          <w:noProof/>
          <w:lang w:val="en-US"/>
        </w:rPr>
        <w:lastRenderedPageBreak/>
        <w:drawing>
          <wp:inline distT="0" distB="0" distL="0" distR="0">
            <wp:extent cx="2968625" cy="1746378"/>
            <wp:effectExtent l="1905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68625" cy="1746378"/>
                    </a:xfrm>
                    <a:prstGeom prst="rect">
                      <a:avLst/>
                    </a:prstGeom>
                    <a:noFill/>
                    <a:ln w="9525">
                      <a:noFill/>
                      <a:miter lim="800000"/>
                      <a:headEnd/>
                      <a:tailEnd/>
                    </a:ln>
                  </pic:spPr>
                </pic:pic>
              </a:graphicData>
            </a:graphic>
          </wp:inline>
        </w:drawing>
      </w:r>
    </w:p>
    <w:p w:rsidR="008F0ED6" w:rsidRPr="008F0ED6" w:rsidRDefault="008F0ED6" w:rsidP="00180040">
      <w:pPr>
        <w:pStyle w:val="FigureCaption0"/>
        <w:jc w:val="both"/>
        <w:rPr>
          <w:kern w:val="16"/>
        </w:rPr>
      </w:pPr>
      <w:r>
        <w:rPr>
          <w:kern w:val="16"/>
        </w:rPr>
        <w:t xml:space="preserve">Figure 4: </w:t>
      </w:r>
      <w:r w:rsidRPr="008F0ED6">
        <w:rPr>
          <w:kern w:val="16"/>
        </w:rPr>
        <w:t>Horizontal high-energy hadron fluence distribution around the TI8 beam stopper (TED) for 6.8x10</w:t>
      </w:r>
      <w:r w:rsidRPr="00180040">
        <w:rPr>
          <w:kern w:val="16"/>
          <w:vertAlign w:val="superscript"/>
        </w:rPr>
        <w:t>12</w:t>
      </w:r>
      <w:r w:rsidRPr="008F0ED6">
        <w:rPr>
          <w:kern w:val="16"/>
        </w:rPr>
        <w:t xml:space="preserve"> 450GeV/c protons impinging on the TED</w:t>
      </w:r>
      <w:r w:rsidRPr="008F0ED6">
        <w:rPr>
          <w:rFonts w:hint="eastAsia"/>
          <w:kern w:val="16"/>
        </w:rPr>
        <w:t>.</w:t>
      </w:r>
      <w:r w:rsidRPr="008F0ED6">
        <w:rPr>
          <w:kern w:val="16"/>
        </w:rPr>
        <w:t xml:space="preserve"> The color code refers to number of particles per square-centimeter above 20 MeV [cm-2].</w:t>
      </w:r>
    </w:p>
    <w:p w:rsidR="00607C67" w:rsidRDefault="00607C67" w:rsidP="00180040">
      <w:pPr>
        <w:pStyle w:val="TableCaption0"/>
        <w:jc w:val="left"/>
        <w:rPr>
          <w:kern w:val="16"/>
        </w:rPr>
      </w:pPr>
    </w:p>
    <w:p w:rsidR="008F0ED6" w:rsidRPr="008F0ED6" w:rsidRDefault="008F0ED6" w:rsidP="00180040">
      <w:pPr>
        <w:pStyle w:val="TableCaption0"/>
        <w:jc w:val="both"/>
        <w:rPr>
          <w:kern w:val="16"/>
        </w:rPr>
      </w:pPr>
      <w:r>
        <w:rPr>
          <w:kern w:val="16"/>
        </w:rPr>
        <w:t xml:space="preserve">Table 3: </w:t>
      </w:r>
      <w:r w:rsidRPr="008F0ED6">
        <w:rPr>
          <w:kern w:val="16"/>
        </w:rPr>
        <w:t xml:space="preserve">Comparison between FLUKA simulation and </w:t>
      </w:r>
      <w:proofErr w:type="spellStart"/>
      <w:r w:rsidRPr="008F0ED6">
        <w:rPr>
          <w:kern w:val="16"/>
        </w:rPr>
        <w:t>RadMon</w:t>
      </w:r>
      <w:proofErr w:type="spellEnd"/>
      <w:r w:rsidRPr="008F0ED6">
        <w:rPr>
          <w:kern w:val="16"/>
        </w:rPr>
        <w:t xml:space="preserve"> </w:t>
      </w:r>
      <w:r w:rsidR="007669DD">
        <w:rPr>
          <w:kern w:val="16"/>
        </w:rPr>
        <w:t xml:space="preserve">(set to 5V) </w:t>
      </w:r>
      <w:r w:rsidRPr="008F0ED6">
        <w:rPr>
          <w:kern w:val="16"/>
        </w:rPr>
        <w:t>measurements performed during the injection test with direct dump on the TI8 beam stopper (TED). Stated errors are based on counts and calibration uncertainties for the RadMon values, as well as statistical uncertainties for the FLUKA calculations.</w:t>
      </w:r>
    </w:p>
    <w:tbl>
      <w:tblPr>
        <w:tblStyle w:val="TableSimple1"/>
        <w:tblW w:w="0" w:type="auto"/>
        <w:tblInd w:w="192" w:type="dxa"/>
        <w:tblLook w:val="00A0"/>
      </w:tblPr>
      <w:tblGrid>
        <w:gridCol w:w="1446"/>
        <w:gridCol w:w="1076"/>
        <w:gridCol w:w="1258"/>
        <w:gridCol w:w="919"/>
      </w:tblGrid>
      <w:tr w:rsidR="008F0ED6" w:rsidRPr="00782173" w:rsidTr="001C4B55">
        <w:trPr>
          <w:cnfStyle w:val="100000000000"/>
          <w:trHeight w:val="180"/>
        </w:trPr>
        <w:tc>
          <w:tcPr>
            <w:tcW w:w="1446" w:type="dxa"/>
            <w:tcBorders>
              <w:top w:val="single" w:sz="8" w:space="0" w:color="auto"/>
              <w:bottom w:val="single" w:sz="4" w:space="0" w:color="auto"/>
            </w:tcBorders>
            <w:vAlign w:val="center"/>
          </w:tcPr>
          <w:p w:rsidR="008F0ED6" w:rsidRPr="00782173" w:rsidRDefault="008F0ED6" w:rsidP="00180040">
            <w:pPr>
              <w:pStyle w:val="BodyText"/>
              <w:spacing w:beforeLines="60" w:line="220" w:lineRule="exact"/>
              <w:jc w:val="center"/>
              <w:rPr>
                <w:rFonts w:eastAsia="MS Mincho"/>
                <w:bCs/>
                <w:sz w:val="18"/>
                <w:szCs w:val="18"/>
                <w:lang w:eastAsia="ja-JP"/>
              </w:rPr>
            </w:pPr>
            <w:r w:rsidRPr="001E5164">
              <w:rPr>
                <w:b/>
                <w:sz w:val="18"/>
                <w:szCs w:val="18"/>
              </w:rPr>
              <w:t>Quantity</w:t>
            </w:r>
          </w:p>
        </w:tc>
        <w:tc>
          <w:tcPr>
            <w:tcW w:w="1076" w:type="dxa"/>
            <w:tcBorders>
              <w:top w:val="single" w:sz="8" w:space="0" w:color="auto"/>
              <w:bottom w:val="single" w:sz="4" w:space="0" w:color="auto"/>
            </w:tcBorders>
            <w:vAlign w:val="center"/>
          </w:tcPr>
          <w:p w:rsidR="008F0ED6" w:rsidRPr="001E5164" w:rsidRDefault="008F0ED6" w:rsidP="00180040">
            <w:pPr>
              <w:spacing w:beforeLines="60"/>
              <w:jc w:val="center"/>
              <w:rPr>
                <w:b/>
                <w:sz w:val="18"/>
                <w:szCs w:val="18"/>
                <w:lang w:eastAsia="en-GB"/>
              </w:rPr>
            </w:pPr>
            <w:r w:rsidRPr="001E5164">
              <w:rPr>
                <w:b/>
                <w:sz w:val="18"/>
                <w:szCs w:val="18"/>
                <w:lang w:eastAsia="en-GB"/>
              </w:rPr>
              <w:t>RadMon</w:t>
            </w:r>
            <w:r>
              <w:rPr>
                <w:b/>
                <w:sz w:val="18"/>
                <w:szCs w:val="18"/>
                <w:lang w:eastAsia="en-GB"/>
              </w:rPr>
              <w:br/>
            </w:r>
            <w:r>
              <w:rPr>
                <w:b/>
                <w:sz w:val="16"/>
                <w:szCs w:val="18"/>
                <w:lang w:eastAsia="en-GB"/>
              </w:rPr>
              <w:t>[Error</w:t>
            </w:r>
            <w:r w:rsidRPr="001E5164">
              <w:rPr>
                <w:b/>
                <w:sz w:val="16"/>
                <w:szCs w:val="18"/>
                <w:lang w:eastAsia="en-GB"/>
              </w:rPr>
              <w:t>]</w:t>
            </w:r>
          </w:p>
        </w:tc>
        <w:tc>
          <w:tcPr>
            <w:tcW w:w="1258" w:type="dxa"/>
            <w:tcBorders>
              <w:top w:val="single" w:sz="8" w:space="0" w:color="auto"/>
              <w:bottom w:val="single" w:sz="4" w:space="0" w:color="auto"/>
            </w:tcBorders>
            <w:vAlign w:val="center"/>
          </w:tcPr>
          <w:p w:rsidR="008F0ED6" w:rsidRPr="001E5164" w:rsidRDefault="008F0ED6" w:rsidP="00180040">
            <w:pPr>
              <w:pStyle w:val="BodyTextIndent"/>
              <w:spacing w:beforeLines="60"/>
              <w:jc w:val="center"/>
              <w:rPr>
                <w:b/>
                <w:sz w:val="18"/>
                <w:szCs w:val="18"/>
              </w:rPr>
            </w:pPr>
            <w:r w:rsidRPr="001E5164">
              <w:rPr>
                <w:b/>
                <w:sz w:val="18"/>
                <w:szCs w:val="18"/>
                <w:lang w:eastAsia="en-GB"/>
              </w:rPr>
              <w:t>FLUKA</w:t>
            </w:r>
            <w:r>
              <w:rPr>
                <w:b/>
                <w:sz w:val="18"/>
                <w:szCs w:val="18"/>
                <w:lang w:eastAsia="en-GB"/>
              </w:rPr>
              <w:br/>
            </w:r>
            <w:r>
              <w:rPr>
                <w:b/>
                <w:sz w:val="16"/>
                <w:szCs w:val="18"/>
                <w:lang w:eastAsia="en-GB"/>
              </w:rPr>
              <w:t>[Error</w:t>
            </w:r>
            <w:r w:rsidRPr="001E5164">
              <w:rPr>
                <w:b/>
                <w:sz w:val="16"/>
                <w:szCs w:val="18"/>
                <w:lang w:eastAsia="en-GB"/>
              </w:rPr>
              <w:t>]</w:t>
            </w:r>
          </w:p>
        </w:tc>
        <w:tc>
          <w:tcPr>
            <w:tcW w:w="919" w:type="dxa"/>
            <w:tcBorders>
              <w:top w:val="single" w:sz="8" w:space="0" w:color="auto"/>
              <w:bottom w:val="single" w:sz="4" w:space="0" w:color="auto"/>
            </w:tcBorders>
            <w:vAlign w:val="center"/>
          </w:tcPr>
          <w:p w:rsidR="008F0ED6" w:rsidRPr="001E5164" w:rsidRDefault="008F0ED6" w:rsidP="00180040">
            <w:pPr>
              <w:pStyle w:val="BodyTextIndent"/>
              <w:spacing w:beforeLines="60"/>
              <w:jc w:val="center"/>
              <w:rPr>
                <w:b/>
                <w:sz w:val="18"/>
                <w:szCs w:val="18"/>
              </w:rPr>
            </w:pPr>
            <w:r w:rsidRPr="001E5164">
              <w:rPr>
                <w:b/>
                <w:sz w:val="18"/>
                <w:szCs w:val="18"/>
                <w:lang w:eastAsia="en-GB"/>
              </w:rPr>
              <w:t>Ratio (R/F)</w:t>
            </w:r>
          </w:p>
        </w:tc>
      </w:tr>
      <w:tr w:rsidR="008F0ED6" w:rsidRPr="00B24F44" w:rsidTr="001C4B55">
        <w:tc>
          <w:tcPr>
            <w:tcW w:w="1446" w:type="dxa"/>
            <w:tcBorders>
              <w:top w:val="single" w:sz="4" w:space="0" w:color="auto"/>
              <w:bottom w:val="single" w:sz="8" w:space="0" w:color="auto"/>
            </w:tcBorders>
            <w:vAlign w:val="center"/>
          </w:tcPr>
          <w:p w:rsidR="008F0ED6" w:rsidRPr="001E5164" w:rsidRDefault="008F0ED6" w:rsidP="00180040">
            <w:pPr>
              <w:spacing w:beforeLines="60"/>
              <w:jc w:val="center"/>
              <w:rPr>
                <w:b/>
                <w:sz w:val="18"/>
                <w:szCs w:val="18"/>
                <w:lang w:eastAsia="en-GB"/>
              </w:rPr>
            </w:pPr>
            <w:r>
              <w:rPr>
                <w:b/>
                <w:sz w:val="18"/>
                <w:szCs w:val="18"/>
                <w:lang w:eastAsia="en-GB"/>
              </w:rPr>
              <w:t>High-</w:t>
            </w:r>
            <w:r w:rsidRPr="001E5164">
              <w:rPr>
                <w:b/>
                <w:sz w:val="18"/>
                <w:szCs w:val="18"/>
                <w:lang w:eastAsia="en-GB"/>
              </w:rPr>
              <w:t>energy hadrons</w:t>
            </w:r>
            <w:r>
              <w:rPr>
                <w:b/>
                <w:sz w:val="18"/>
                <w:szCs w:val="18"/>
                <w:lang w:eastAsia="en-GB"/>
              </w:rPr>
              <w:t xml:space="preserve"> </w:t>
            </w:r>
            <w:r>
              <w:rPr>
                <w:b/>
                <w:sz w:val="18"/>
                <w:szCs w:val="18"/>
                <w:lang w:eastAsia="en-GB"/>
              </w:rPr>
              <w:br/>
            </w:r>
            <w:r w:rsidRPr="001E5164">
              <w:rPr>
                <w:b/>
                <w:sz w:val="16"/>
                <w:szCs w:val="18"/>
                <w:lang w:eastAsia="en-GB"/>
              </w:rPr>
              <w:t>(cm</w:t>
            </w:r>
            <w:r w:rsidRPr="001E5164">
              <w:rPr>
                <w:b/>
                <w:sz w:val="16"/>
                <w:szCs w:val="18"/>
                <w:vertAlign w:val="superscript"/>
                <w:lang w:eastAsia="en-GB"/>
              </w:rPr>
              <w:t>-2</w:t>
            </w:r>
            <w:r>
              <w:rPr>
                <w:b/>
                <w:sz w:val="16"/>
                <w:szCs w:val="18"/>
                <w:lang w:eastAsia="en-GB"/>
              </w:rPr>
              <w:t>)</w:t>
            </w:r>
          </w:p>
        </w:tc>
        <w:tc>
          <w:tcPr>
            <w:tcW w:w="1076"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1.2 x 10</w:t>
            </w:r>
            <w:r w:rsidRPr="007170D2">
              <w:rPr>
                <w:szCs w:val="18"/>
                <w:vertAlign w:val="superscript"/>
                <w:lang w:eastAsia="en-GB"/>
              </w:rPr>
              <w:t>10</w:t>
            </w:r>
            <w:r>
              <w:rPr>
                <w:szCs w:val="18"/>
                <w:vertAlign w:val="superscript"/>
                <w:lang w:eastAsia="en-GB"/>
              </w:rPr>
              <w:br/>
            </w:r>
            <w:r w:rsidRPr="007170D2">
              <w:rPr>
                <w:szCs w:val="18"/>
                <w:lang w:eastAsia="en-GB"/>
              </w:rPr>
              <w:t>[</w:t>
            </w:r>
            <w:r>
              <w:rPr>
                <w:szCs w:val="18"/>
                <w:lang w:eastAsia="en-GB"/>
              </w:rPr>
              <w:t>20.0</w:t>
            </w:r>
            <w:r w:rsidRPr="007170D2">
              <w:rPr>
                <w:szCs w:val="18"/>
                <w:lang w:eastAsia="en-GB"/>
              </w:rPr>
              <w:t xml:space="preserve">%] </w:t>
            </w:r>
          </w:p>
        </w:tc>
        <w:tc>
          <w:tcPr>
            <w:tcW w:w="1258"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0.96 x 10</w:t>
            </w:r>
            <w:r w:rsidRPr="007170D2">
              <w:rPr>
                <w:szCs w:val="18"/>
                <w:vertAlign w:val="superscript"/>
                <w:lang w:eastAsia="en-GB"/>
              </w:rPr>
              <w:t>10</w:t>
            </w:r>
            <w:r w:rsidRPr="007170D2">
              <w:rPr>
                <w:szCs w:val="18"/>
                <w:lang w:eastAsia="en-GB"/>
              </w:rPr>
              <w:t xml:space="preserve"> [3.2%]</w:t>
            </w:r>
          </w:p>
        </w:tc>
        <w:tc>
          <w:tcPr>
            <w:tcW w:w="919"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0.80</w:t>
            </w:r>
          </w:p>
        </w:tc>
      </w:tr>
      <w:tr w:rsidR="008F0ED6" w:rsidRPr="00B24F44" w:rsidTr="001C4B55">
        <w:tc>
          <w:tcPr>
            <w:tcW w:w="1446" w:type="dxa"/>
            <w:tcBorders>
              <w:top w:val="single" w:sz="4" w:space="0" w:color="auto"/>
              <w:bottom w:val="single" w:sz="8" w:space="0" w:color="auto"/>
            </w:tcBorders>
            <w:vAlign w:val="center"/>
          </w:tcPr>
          <w:p w:rsidR="008F0ED6" w:rsidRPr="001E5164" w:rsidRDefault="008F0ED6" w:rsidP="00180040">
            <w:pPr>
              <w:spacing w:beforeLines="60"/>
              <w:jc w:val="center"/>
              <w:rPr>
                <w:b/>
                <w:sz w:val="18"/>
                <w:szCs w:val="18"/>
                <w:lang w:eastAsia="en-GB"/>
              </w:rPr>
            </w:pPr>
            <w:r w:rsidRPr="001E5164">
              <w:rPr>
                <w:b/>
                <w:sz w:val="18"/>
                <w:szCs w:val="18"/>
                <w:lang w:eastAsia="en-GB"/>
              </w:rPr>
              <w:t>1 MeV neutron equiv.</w:t>
            </w:r>
            <w:r w:rsidR="001C4B55">
              <w:rPr>
                <w:b/>
                <w:sz w:val="18"/>
                <w:szCs w:val="18"/>
                <w:lang w:eastAsia="en-GB"/>
              </w:rPr>
              <w:t xml:space="preserve"> </w:t>
            </w:r>
            <w:r w:rsidRPr="001E5164">
              <w:rPr>
                <w:b/>
                <w:sz w:val="16"/>
                <w:szCs w:val="18"/>
                <w:lang w:eastAsia="en-GB"/>
              </w:rPr>
              <w:t>(cm</w:t>
            </w:r>
            <w:r w:rsidRPr="001E5164">
              <w:rPr>
                <w:b/>
                <w:sz w:val="16"/>
                <w:szCs w:val="18"/>
                <w:vertAlign w:val="superscript"/>
                <w:lang w:eastAsia="en-GB"/>
              </w:rPr>
              <w:t>-2</w:t>
            </w:r>
            <w:r>
              <w:rPr>
                <w:b/>
                <w:sz w:val="16"/>
                <w:szCs w:val="18"/>
                <w:lang w:eastAsia="en-GB"/>
              </w:rPr>
              <w:t>)</w:t>
            </w:r>
          </w:p>
        </w:tc>
        <w:tc>
          <w:tcPr>
            <w:tcW w:w="1076"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2 x 10</w:t>
            </w:r>
            <w:r w:rsidRPr="007170D2">
              <w:rPr>
                <w:szCs w:val="18"/>
                <w:vertAlign w:val="superscript"/>
                <w:lang w:eastAsia="en-GB"/>
              </w:rPr>
              <w:t>10</w:t>
            </w:r>
            <w:r>
              <w:rPr>
                <w:szCs w:val="18"/>
                <w:vertAlign w:val="superscript"/>
                <w:lang w:eastAsia="en-GB"/>
              </w:rPr>
              <w:br/>
            </w:r>
            <w:r w:rsidRPr="007170D2">
              <w:rPr>
                <w:szCs w:val="18"/>
                <w:lang w:eastAsia="en-GB"/>
              </w:rPr>
              <w:t>[</w:t>
            </w:r>
            <w:r>
              <w:rPr>
                <w:szCs w:val="18"/>
                <w:lang w:eastAsia="en-GB"/>
              </w:rPr>
              <w:t>20.0</w:t>
            </w:r>
            <w:r w:rsidRPr="007170D2">
              <w:rPr>
                <w:szCs w:val="18"/>
                <w:lang w:eastAsia="en-GB"/>
              </w:rPr>
              <w:t>%]</w:t>
            </w:r>
          </w:p>
        </w:tc>
        <w:tc>
          <w:tcPr>
            <w:tcW w:w="1258"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2.1 x 10</w:t>
            </w:r>
            <w:r w:rsidRPr="007170D2">
              <w:rPr>
                <w:szCs w:val="18"/>
                <w:vertAlign w:val="superscript"/>
                <w:lang w:eastAsia="en-GB"/>
              </w:rPr>
              <w:t>10</w:t>
            </w:r>
            <w:r w:rsidRPr="007170D2">
              <w:rPr>
                <w:szCs w:val="18"/>
                <w:lang w:eastAsia="en-GB"/>
              </w:rPr>
              <w:t xml:space="preserve"> [2.5%]</w:t>
            </w:r>
          </w:p>
        </w:tc>
        <w:tc>
          <w:tcPr>
            <w:tcW w:w="919"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1.05</w:t>
            </w:r>
          </w:p>
        </w:tc>
      </w:tr>
      <w:tr w:rsidR="008F0ED6" w:rsidRPr="00B24F44" w:rsidTr="001C4B55">
        <w:tc>
          <w:tcPr>
            <w:tcW w:w="1446" w:type="dxa"/>
            <w:tcBorders>
              <w:top w:val="single" w:sz="4" w:space="0" w:color="auto"/>
              <w:bottom w:val="single" w:sz="8" w:space="0" w:color="auto"/>
            </w:tcBorders>
            <w:vAlign w:val="center"/>
          </w:tcPr>
          <w:p w:rsidR="008F0ED6" w:rsidRPr="001E5164" w:rsidRDefault="008F0ED6" w:rsidP="00180040">
            <w:pPr>
              <w:spacing w:beforeLines="60"/>
              <w:jc w:val="center"/>
              <w:rPr>
                <w:b/>
                <w:sz w:val="18"/>
                <w:szCs w:val="18"/>
                <w:lang w:eastAsia="en-GB"/>
              </w:rPr>
            </w:pPr>
            <w:r w:rsidRPr="001E5164">
              <w:rPr>
                <w:b/>
                <w:sz w:val="18"/>
                <w:szCs w:val="18"/>
                <w:lang w:eastAsia="en-GB"/>
              </w:rPr>
              <w:t>Dose</w:t>
            </w:r>
            <w:r>
              <w:rPr>
                <w:b/>
                <w:sz w:val="18"/>
                <w:szCs w:val="18"/>
                <w:lang w:eastAsia="en-GB"/>
              </w:rPr>
              <w:br/>
            </w:r>
            <w:r w:rsidRPr="001E5164">
              <w:rPr>
                <w:b/>
                <w:sz w:val="16"/>
                <w:szCs w:val="18"/>
                <w:lang w:eastAsia="en-GB"/>
              </w:rPr>
              <w:t>(</w:t>
            </w:r>
            <w:r>
              <w:rPr>
                <w:b/>
                <w:sz w:val="16"/>
                <w:szCs w:val="18"/>
                <w:lang w:eastAsia="en-GB"/>
              </w:rPr>
              <w:t>Gy)</w:t>
            </w:r>
          </w:p>
        </w:tc>
        <w:tc>
          <w:tcPr>
            <w:tcW w:w="1076"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4.73</w:t>
            </w:r>
            <w:r>
              <w:rPr>
                <w:szCs w:val="18"/>
                <w:lang w:eastAsia="en-GB"/>
              </w:rPr>
              <w:br/>
            </w:r>
            <w:r w:rsidRPr="007170D2">
              <w:rPr>
                <w:szCs w:val="18"/>
                <w:lang w:eastAsia="en-GB"/>
              </w:rPr>
              <w:t>[</w:t>
            </w:r>
            <w:r>
              <w:rPr>
                <w:szCs w:val="18"/>
                <w:lang w:eastAsia="en-GB"/>
              </w:rPr>
              <w:t>20.0</w:t>
            </w:r>
            <w:r w:rsidRPr="007170D2">
              <w:rPr>
                <w:szCs w:val="18"/>
                <w:lang w:eastAsia="en-GB"/>
              </w:rPr>
              <w:t>%]</w:t>
            </w:r>
          </w:p>
        </w:tc>
        <w:tc>
          <w:tcPr>
            <w:tcW w:w="1258"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Pr>
                <w:szCs w:val="18"/>
                <w:lang w:eastAsia="en-GB"/>
              </w:rPr>
              <w:t>5.0</w:t>
            </w:r>
            <w:r w:rsidRPr="007170D2">
              <w:rPr>
                <w:szCs w:val="18"/>
                <w:lang w:eastAsia="en-GB"/>
              </w:rPr>
              <w:br/>
              <w:t>[10%]</w:t>
            </w:r>
          </w:p>
        </w:tc>
        <w:tc>
          <w:tcPr>
            <w:tcW w:w="919"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sidRPr="007170D2">
              <w:rPr>
                <w:szCs w:val="18"/>
                <w:lang w:eastAsia="en-GB"/>
              </w:rPr>
              <w:t>1.06</w:t>
            </w:r>
          </w:p>
        </w:tc>
      </w:tr>
    </w:tbl>
    <w:p w:rsidR="008F0ED6" w:rsidRDefault="008F0ED6" w:rsidP="00180040">
      <w:pPr>
        <w:spacing w:beforeLines="60" w:line="240" w:lineRule="exact"/>
        <w:ind w:firstLine="227"/>
        <w:rPr>
          <w:rFonts w:eastAsia="MS PMincho"/>
          <w:kern w:val="2"/>
          <w:lang w:eastAsia="ja-JP"/>
        </w:rPr>
      </w:pPr>
      <w:r w:rsidRPr="007724F1">
        <w:rPr>
          <w:rFonts w:eastAsia="MS PMincho"/>
          <w:kern w:val="2"/>
          <w:lang w:eastAsia="ja-JP"/>
        </w:rPr>
        <w:t>Beam losses occur not only on the TED (during injection line setup)</w:t>
      </w:r>
      <w:r>
        <w:rPr>
          <w:rFonts w:eastAsia="MS PMincho"/>
          <w:kern w:val="2"/>
          <w:lang w:eastAsia="ja-JP"/>
        </w:rPr>
        <w:t xml:space="preserve"> but also during injection when fractions of the injected beam will be lost on the injection collimator (TCDI). Electronics near the shielded area has therefore to be sufficiently protected and respective shielding improvements were already performed in 2009 [8]. Figure 5 shows the radiation field distribution in case of a beam loss on the TCDI, as well as the two monitor locations of interest.</w:t>
      </w:r>
    </w:p>
    <w:p w:rsidR="008F0ED6" w:rsidRDefault="008F0ED6" w:rsidP="00180040">
      <w:pPr>
        <w:spacing w:beforeLines="60" w:line="240" w:lineRule="exact"/>
        <w:ind w:firstLine="227"/>
        <w:rPr>
          <w:rFonts w:eastAsia="MS PMincho"/>
          <w:kern w:val="2"/>
          <w:lang w:eastAsia="ja-JP"/>
        </w:rPr>
      </w:pPr>
      <w:r>
        <w:rPr>
          <w:rFonts w:eastAsia="MS PMincho"/>
          <w:kern w:val="2"/>
          <w:lang w:eastAsia="ja-JP"/>
        </w:rPr>
        <w:t>During a setup of the TCDI collimator with a known number of protons impinging on its jaw, the two monitor location</w:t>
      </w:r>
      <w:r w:rsidR="007669DD">
        <w:rPr>
          <w:rFonts w:eastAsia="MS PMincho"/>
          <w:kern w:val="2"/>
          <w:lang w:eastAsia="ja-JP"/>
        </w:rPr>
        <w:t>s (8RM05S and 8RM06S, see Fig.4</w:t>
      </w:r>
      <w:r>
        <w:rPr>
          <w:rFonts w:eastAsia="MS PMincho"/>
          <w:kern w:val="2"/>
          <w:lang w:eastAsia="ja-JP"/>
        </w:rPr>
        <w:t>) then served as application benchmark in order to compare the FLUKA simulations and the detector readings. The good agreement is shown in Table 4, where the results are expressed as high-energy hadron fluence per primary particle interaction on the collimator jaw.</w:t>
      </w:r>
    </w:p>
    <w:p w:rsidR="008F0ED6" w:rsidRDefault="008F0ED6" w:rsidP="00180040">
      <w:pPr>
        <w:pStyle w:val="BodyTextIndent"/>
        <w:spacing w:beforeLines="60"/>
        <w:ind w:firstLine="0"/>
      </w:pPr>
      <w:r>
        <w:rPr>
          <w:noProof/>
          <w:lang w:val="en-US"/>
        </w:rPr>
        <w:lastRenderedPageBreak/>
        <w:drawing>
          <wp:inline distT="0" distB="0" distL="0" distR="0">
            <wp:extent cx="2983794" cy="1647251"/>
            <wp:effectExtent l="19050" t="0" r="7056" b="0"/>
            <wp:docPr id="18" name="Picture 7" descr="C:\Users\markus\AppData\Local\Microsoft\Windows\Temporary Internet Files\Content.Word\FluenceC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us\AppData\Local\Microsoft\Windows\Temporary Internet Files\Content.Word\FluenceColl.gif"/>
                    <pic:cNvPicPr>
                      <a:picLocks noChangeAspect="1" noChangeArrowheads="1"/>
                    </pic:cNvPicPr>
                  </pic:nvPicPr>
                  <pic:blipFill>
                    <a:blip r:embed="rId15" cstate="print"/>
                    <a:srcRect/>
                    <a:stretch>
                      <a:fillRect/>
                    </a:stretch>
                  </pic:blipFill>
                  <pic:spPr bwMode="auto">
                    <a:xfrm>
                      <a:off x="0" y="0"/>
                      <a:ext cx="2989620" cy="1650467"/>
                    </a:xfrm>
                    <a:prstGeom prst="rect">
                      <a:avLst/>
                    </a:prstGeom>
                    <a:noFill/>
                    <a:ln w="9525">
                      <a:noFill/>
                      <a:miter lim="800000"/>
                      <a:headEnd/>
                      <a:tailEnd/>
                    </a:ln>
                  </pic:spPr>
                </pic:pic>
              </a:graphicData>
            </a:graphic>
          </wp:inline>
        </w:drawing>
      </w:r>
    </w:p>
    <w:p w:rsidR="008F0ED6" w:rsidRDefault="008F0ED6" w:rsidP="00180040">
      <w:pPr>
        <w:pStyle w:val="FigureCaption0"/>
        <w:jc w:val="both"/>
        <w:rPr>
          <w:kern w:val="16"/>
        </w:rPr>
      </w:pPr>
      <w:r>
        <w:rPr>
          <w:kern w:val="16"/>
        </w:rPr>
        <w:t xml:space="preserve">Figure 5: </w:t>
      </w:r>
      <w:r w:rsidRPr="008F0ED6">
        <w:rPr>
          <w:kern w:val="16"/>
        </w:rPr>
        <w:t>High-energy hadron fluence distribution around the collimator (TCDI) location originating from losses of 450GeV/c protons injected into the LHC. Fluences are normalized for an estimated cumulative annual loss on the respective collimator</w:t>
      </w:r>
      <w:r w:rsidRPr="008F0ED6">
        <w:rPr>
          <w:rFonts w:hint="eastAsia"/>
          <w:kern w:val="16"/>
        </w:rPr>
        <w:t>.</w:t>
      </w:r>
    </w:p>
    <w:p w:rsidR="008F0ED6" w:rsidRPr="008F0ED6" w:rsidRDefault="008F0ED6" w:rsidP="00180040">
      <w:pPr>
        <w:pStyle w:val="TableCaption0"/>
        <w:jc w:val="both"/>
        <w:rPr>
          <w:kern w:val="16"/>
        </w:rPr>
      </w:pPr>
      <w:proofErr w:type="gramStart"/>
      <w:r>
        <w:rPr>
          <w:kern w:val="16"/>
        </w:rPr>
        <w:t xml:space="preserve">Table 4: </w:t>
      </w:r>
      <w:r w:rsidRPr="008F0ED6">
        <w:rPr>
          <w:kern w:val="16"/>
        </w:rPr>
        <w:t>High-energy hadron fluence (cm</w:t>
      </w:r>
      <w:r w:rsidRPr="00E90B0D">
        <w:rPr>
          <w:kern w:val="16"/>
          <w:vertAlign w:val="superscript"/>
        </w:rPr>
        <w:t>-2</w:t>
      </w:r>
      <w:r w:rsidRPr="008F0ED6">
        <w:rPr>
          <w:kern w:val="16"/>
        </w:rPr>
        <w:t>) for two RadMon measurement positions close to the shielded area.</w:t>
      </w:r>
      <w:proofErr w:type="gramEnd"/>
      <w:r w:rsidRPr="008F0ED6">
        <w:rPr>
          <w:kern w:val="16"/>
        </w:rPr>
        <w:t xml:space="preserve"> Results are given as fluence per primary proton impinging on the injection collimator (TCDI). Stated errors are based on counts and calibration uncertainties for the RadMon values, as well as statistical uncertainties for the FLUKA calculations.</w:t>
      </w:r>
    </w:p>
    <w:tbl>
      <w:tblPr>
        <w:tblStyle w:val="TableSimple1"/>
        <w:tblW w:w="0" w:type="auto"/>
        <w:tblInd w:w="192" w:type="dxa"/>
        <w:tblLook w:val="00A0"/>
      </w:tblPr>
      <w:tblGrid>
        <w:gridCol w:w="1086"/>
        <w:gridCol w:w="1350"/>
        <w:gridCol w:w="1287"/>
        <w:gridCol w:w="976"/>
      </w:tblGrid>
      <w:tr w:rsidR="008F0ED6" w:rsidRPr="00782173" w:rsidTr="008F0ED6">
        <w:trPr>
          <w:cnfStyle w:val="100000000000"/>
          <w:trHeight w:val="180"/>
        </w:trPr>
        <w:tc>
          <w:tcPr>
            <w:tcW w:w="1086" w:type="dxa"/>
            <w:tcBorders>
              <w:top w:val="single" w:sz="8" w:space="0" w:color="auto"/>
              <w:bottom w:val="single" w:sz="4" w:space="0" w:color="auto"/>
            </w:tcBorders>
            <w:vAlign w:val="center"/>
          </w:tcPr>
          <w:p w:rsidR="008F0ED6" w:rsidRPr="00782173" w:rsidRDefault="008F0ED6" w:rsidP="00180040">
            <w:pPr>
              <w:pStyle w:val="BodyText"/>
              <w:spacing w:beforeLines="60" w:line="220" w:lineRule="exact"/>
              <w:jc w:val="center"/>
              <w:rPr>
                <w:rFonts w:eastAsia="MS Mincho"/>
                <w:bCs/>
                <w:sz w:val="18"/>
                <w:szCs w:val="18"/>
                <w:lang w:eastAsia="ja-JP"/>
              </w:rPr>
            </w:pPr>
            <w:r>
              <w:rPr>
                <w:b/>
                <w:sz w:val="18"/>
                <w:szCs w:val="18"/>
              </w:rPr>
              <w:t>Location</w:t>
            </w:r>
          </w:p>
        </w:tc>
        <w:tc>
          <w:tcPr>
            <w:tcW w:w="1350" w:type="dxa"/>
            <w:tcBorders>
              <w:top w:val="single" w:sz="8" w:space="0" w:color="auto"/>
              <w:bottom w:val="single" w:sz="4" w:space="0" w:color="auto"/>
            </w:tcBorders>
            <w:vAlign w:val="center"/>
          </w:tcPr>
          <w:p w:rsidR="008F0ED6" w:rsidRPr="001E5164" w:rsidRDefault="008F0ED6" w:rsidP="00180040">
            <w:pPr>
              <w:spacing w:beforeLines="60"/>
              <w:jc w:val="center"/>
              <w:rPr>
                <w:b/>
                <w:sz w:val="18"/>
                <w:szCs w:val="18"/>
                <w:lang w:eastAsia="en-GB"/>
              </w:rPr>
            </w:pPr>
            <w:r w:rsidRPr="001E5164">
              <w:rPr>
                <w:b/>
                <w:sz w:val="18"/>
                <w:szCs w:val="18"/>
                <w:lang w:eastAsia="en-GB"/>
              </w:rPr>
              <w:t>RadMon</w:t>
            </w:r>
            <w:r>
              <w:rPr>
                <w:b/>
                <w:sz w:val="18"/>
                <w:szCs w:val="18"/>
                <w:lang w:eastAsia="en-GB"/>
              </w:rPr>
              <w:br/>
              <w:t>[Error]</w:t>
            </w:r>
          </w:p>
        </w:tc>
        <w:tc>
          <w:tcPr>
            <w:tcW w:w="1287" w:type="dxa"/>
            <w:tcBorders>
              <w:top w:val="single" w:sz="8" w:space="0" w:color="auto"/>
              <w:bottom w:val="single" w:sz="4" w:space="0" w:color="auto"/>
            </w:tcBorders>
            <w:vAlign w:val="center"/>
          </w:tcPr>
          <w:p w:rsidR="008F0ED6" w:rsidRPr="001E5164" w:rsidRDefault="008F0ED6" w:rsidP="00180040">
            <w:pPr>
              <w:pStyle w:val="BodyTextIndent"/>
              <w:spacing w:beforeLines="60"/>
              <w:jc w:val="center"/>
              <w:rPr>
                <w:b/>
                <w:sz w:val="18"/>
                <w:szCs w:val="18"/>
              </w:rPr>
            </w:pPr>
            <w:r w:rsidRPr="001E5164">
              <w:rPr>
                <w:b/>
                <w:sz w:val="18"/>
                <w:szCs w:val="18"/>
                <w:lang w:eastAsia="en-GB"/>
              </w:rPr>
              <w:t>FLUKA</w:t>
            </w:r>
            <w:r>
              <w:rPr>
                <w:b/>
                <w:sz w:val="18"/>
                <w:szCs w:val="18"/>
                <w:lang w:eastAsia="en-GB"/>
              </w:rPr>
              <w:br/>
              <w:t>[Error]</w:t>
            </w:r>
          </w:p>
        </w:tc>
        <w:tc>
          <w:tcPr>
            <w:tcW w:w="0" w:type="auto"/>
            <w:tcBorders>
              <w:top w:val="single" w:sz="8" w:space="0" w:color="auto"/>
              <w:bottom w:val="single" w:sz="4" w:space="0" w:color="auto"/>
            </w:tcBorders>
            <w:vAlign w:val="center"/>
          </w:tcPr>
          <w:p w:rsidR="008F0ED6" w:rsidRPr="001E5164" w:rsidRDefault="008F0ED6" w:rsidP="00180040">
            <w:pPr>
              <w:pStyle w:val="BodyTextIndent"/>
              <w:spacing w:beforeLines="60"/>
              <w:jc w:val="center"/>
              <w:rPr>
                <w:b/>
                <w:sz w:val="18"/>
                <w:szCs w:val="18"/>
              </w:rPr>
            </w:pPr>
            <w:r w:rsidRPr="001E5164">
              <w:rPr>
                <w:b/>
                <w:sz w:val="18"/>
                <w:szCs w:val="18"/>
                <w:lang w:eastAsia="en-GB"/>
              </w:rPr>
              <w:t>Ratio (</w:t>
            </w:r>
            <w:r>
              <w:rPr>
                <w:b/>
                <w:sz w:val="18"/>
                <w:szCs w:val="18"/>
                <w:lang w:eastAsia="en-GB"/>
              </w:rPr>
              <w:t>R</w:t>
            </w:r>
            <w:r w:rsidRPr="001E5164">
              <w:rPr>
                <w:b/>
                <w:sz w:val="18"/>
                <w:szCs w:val="18"/>
                <w:lang w:eastAsia="en-GB"/>
              </w:rPr>
              <w:t>/</w:t>
            </w:r>
            <w:r>
              <w:rPr>
                <w:b/>
                <w:sz w:val="18"/>
                <w:szCs w:val="18"/>
                <w:lang w:eastAsia="en-GB"/>
              </w:rPr>
              <w:t>F</w:t>
            </w:r>
            <w:r w:rsidRPr="001E5164">
              <w:rPr>
                <w:b/>
                <w:sz w:val="18"/>
                <w:szCs w:val="18"/>
                <w:lang w:eastAsia="en-GB"/>
              </w:rPr>
              <w:t>)</w:t>
            </w:r>
          </w:p>
        </w:tc>
      </w:tr>
      <w:tr w:rsidR="008F0ED6" w:rsidRPr="00B24F44" w:rsidTr="008F0ED6">
        <w:tc>
          <w:tcPr>
            <w:tcW w:w="1086" w:type="dxa"/>
            <w:tcBorders>
              <w:top w:val="single" w:sz="4" w:space="0" w:color="auto"/>
              <w:bottom w:val="single" w:sz="8" w:space="0" w:color="auto"/>
            </w:tcBorders>
            <w:vAlign w:val="center"/>
          </w:tcPr>
          <w:p w:rsidR="008F0ED6" w:rsidRPr="001E5164" w:rsidRDefault="008F0ED6" w:rsidP="00180040">
            <w:pPr>
              <w:spacing w:beforeLines="60"/>
              <w:jc w:val="center"/>
              <w:rPr>
                <w:b/>
                <w:sz w:val="18"/>
                <w:szCs w:val="18"/>
                <w:lang w:eastAsia="en-GB"/>
              </w:rPr>
            </w:pPr>
            <w:r>
              <w:rPr>
                <w:b/>
                <w:sz w:val="18"/>
                <w:szCs w:val="18"/>
                <w:lang w:eastAsia="en-GB"/>
              </w:rPr>
              <w:t>8RM05S (3V)</w:t>
            </w:r>
          </w:p>
        </w:tc>
        <w:tc>
          <w:tcPr>
            <w:tcW w:w="1350"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Pr>
                <w:szCs w:val="18"/>
                <w:lang w:eastAsia="en-GB"/>
              </w:rPr>
              <w:t>6.97.</w:t>
            </w:r>
            <w:r w:rsidRPr="007170D2">
              <w:rPr>
                <w:szCs w:val="18"/>
                <w:lang w:eastAsia="en-GB"/>
              </w:rPr>
              <w:t xml:space="preserve"> x 10</w:t>
            </w:r>
            <w:r>
              <w:rPr>
                <w:szCs w:val="18"/>
                <w:vertAlign w:val="superscript"/>
                <w:lang w:eastAsia="en-GB"/>
              </w:rPr>
              <w:t xml:space="preserve">-5 </w:t>
            </w:r>
            <w:r w:rsidRPr="00326E2A">
              <w:rPr>
                <w:sz w:val="18"/>
                <w:szCs w:val="18"/>
                <w:lang w:eastAsia="en-GB"/>
              </w:rPr>
              <w:t xml:space="preserve">[20.0%] </w:t>
            </w:r>
          </w:p>
        </w:tc>
        <w:tc>
          <w:tcPr>
            <w:tcW w:w="1287"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Pr>
                <w:szCs w:val="18"/>
                <w:lang w:eastAsia="en-GB"/>
              </w:rPr>
              <w:t>7.75</w:t>
            </w:r>
            <w:r w:rsidRPr="007170D2">
              <w:rPr>
                <w:szCs w:val="18"/>
                <w:lang w:eastAsia="en-GB"/>
              </w:rPr>
              <w:t xml:space="preserve"> x 10</w:t>
            </w:r>
            <w:r>
              <w:rPr>
                <w:szCs w:val="18"/>
                <w:vertAlign w:val="superscript"/>
                <w:lang w:eastAsia="en-GB"/>
              </w:rPr>
              <w:t>-5</w:t>
            </w:r>
            <w:r>
              <w:rPr>
                <w:szCs w:val="18"/>
                <w:vertAlign w:val="superscript"/>
                <w:lang w:eastAsia="en-GB"/>
              </w:rPr>
              <w:br/>
            </w:r>
            <w:r w:rsidRPr="00326E2A">
              <w:rPr>
                <w:sz w:val="18"/>
                <w:szCs w:val="18"/>
                <w:lang w:eastAsia="en-GB"/>
              </w:rPr>
              <w:t>[5.7%]</w:t>
            </w:r>
          </w:p>
        </w:tc>
        <w:tc>
          <w:tcPr>
            <w:tcW w:w="0" w:type="auto"/>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Pr>
                <w:szCs w:val="18"/>
                <w:lang w:eastAsia="en-GB"/>
              </w:rPr>
              <w:t>0.9</w:t>
            </w:r>
          </w:p>
        </w:tc>
      </w:tr>
      <w:tr w:rsidR="008F0ED6" w:rsidRPr="00B24F44" w:rsidTr="008F0ED6">
        <w:tc>
          <w:tcPr>
            <w:tcW w:w="1086" w:type="dxa"/>
            <w:tcBorders>
              <w:top w:val="single" w:sz="4" w:space="0" w:color="auto"/>
              <w:bottom w:val="single" w:sz="8" w:space="0" w:color="auto"/>
            </w:tcBorders>
            <w:vAlign w:val="center"/>
          </w:tcPr>
          <w:p w:rsidR="008F0ED6" w:rsidRPr="001E5164" w:rsidRDefault="008F0ED6" w:rsidP="00180040">
            <w:pPr>
              <w:spacing w:beforeLines="60"/>
              <w:jc w:val="center"/>
              <w:rPr>
                <w:b/>
                <w:sz w:val="18"/>
                <w:szCs w:val="18"/>
                <w:lang w:eastAsia="en-GB"/>
              </w:rPr>
            </w:pPr>
            <w:r>
              <w:rPr>
                <w:b/>
                <w:sz w:val="18"/>
                <w:szCs w:val="18"/>
                <w:lang w:eastAsia="en-GB"/>
              </w:rPr>
              <w:t>8RM06S (5V)</w:t>
            </w:r>
          </w:p>
        </w:tc>
        <w:tc>
          <w:tcPr>
            <w:tcW w:w="1350" w:type="dxa"/>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Pr>
                <w:szCs w:val="18"/>
                <w:lang w:eastAsia="en-GB"/>
              </w:rPr>
              <w:t>6.36</w:t>
            </w:r>
            <w:r w:rsidRPr="007170D2">
              <w:rPr>
                <w:szCs w:val="18"/>
                <w:lang w:eastAsia="en-GB"/>
              </w:rPr>
              <w:t xml:space="preserve"> x 10</w:t>
            </w:r>
            <w:r>
              <w:rPr>
                <w:szCs w:val="18"/>
                <w:vertAlign w:val="superscript"/>
                <w:lang w:eastAsia="en-GB"/>
              </w:rPr>
              <w:t>-6</w:t>
            </w:r>
            <w:r>
              <w:rPr>
                <w:szCs w:val="18"/>
                <w:vertAlign w:val="superscript"/>
                <w:lang w:eastAsia="en-GB"/>
              </w:rPr>
              <w:br/>
            </w:r>
            <w:r w:rsidRPr="00326E2A">
              <w:rPr>
                <w:sz w:val="18"/>
                <w:szCs w:val="18"/>
                <w:lang w:eastAsia="en-GB"/>
              </w:rPr>
              <w:t>[20.0%]</w:t>
            </w:r>
          </w:p>
        </w:tc>
        <w:tc>
          <w:tcPr>
            <w:tcW w:w="1287" w:type="dxa"/>
            <w:tcBorders>
              <w:top w:val="single" w:sz="4" w:space="0" w:color="auto"/>
              <w:bottom w:val="single" w:sz="8" w:space="0" w:color="auto"/>
            </w:tcBorders>
            <w:vAlign w:val="center"/>
          </w:tcPr>
          <w:p w:rsidR="008F0ED6" w:rsidRPr="0014383C" w:rsidRDefault="008F0ED6" w:rsidP="00180040">
            <w:pPr>
              <w:spacing w:beforeLines="60"/>
              <w:jc w:val="center"/>
              <w:rPr>
                <w:szCs w:val="18"/>
                <w:vertAlign w:val="superscript"/>
                <w:lang w:eastAsia="en-GB"/>
              </w:rPr>
            </w:pPr>
            <w:r>
              <w:rPr>
                <w:szCs w:val="18"/>
                <w:lang w:eastAsia="en-GB"/>
              </w:rPr>
              <w:t>6.10</w:t>
            </w:r>
            <w:r w:rsidRPr="007170D2">
              <w:rPr>
                <w:szCs w:val="18"/>
                <w:lang w:eastAsia="en-GB"/>
              </w:rPr>
              <w:t xml:space="preserve"> x 10</w:t>
            </w:r>
            <w:r>
              <w:rPr>
                <w:szCs w:val="18"/>
                <w:vertAlign w:val="superscript"/>
                <w:lang w:eastAsia="en-GB"/>
              </w:rPr>
              <w:t>-6</w:t>
            </w:r>
            <w:r>
              <w:rPr>
                <w:szCs w:val="18"/>
                <w:vertAlign w:val="superscript"/>
                <w:lang w:eastAsia="en-GB"/>
              </w:rPr>
              <w:br/>
            </w:r>
            <w:r w:rsidRPr="00326E2A">
              <w:rPr>
                <w:sz w:val="18"/>
                <w:szCs w:val="18"/>
                <w:lang w:eastAsia="en-GB"/>
              </w:rPr>
              <w:t>[6.8%]</w:t>
            </w:r>
          </w:p>
        </w:tc>
        <w:tc>
          <w:tcPr>
            <w:tcW w:w="0" w:type="auto"/>
            <w:tcBorders>
              <w:top w:val="single" w:sz="4" w:space="0" w:color="auto"/>
              <w:bottom w:val="single" w:sz="8" w:space="0" w:color="auto"/>
            </w:tcBorders>
            <w:vAlign w:val="center"/>
          </w:tcPr>
          <w:p w:rsidR="008F0ED6" w:rsidRPr="007170D2" w:rsidRDefault="008F0ED6" w:rsidP="00180040">
            <w:pPr>
              <w:spacing w:beforeLines="60"/>
              <w:jc w:val="center"/>
              <w:rPr>
                <w:szCs w:val="18"/>
                <w:lang w:eastAsia="en-GB"/>
              </w:rPr>
            </w:pPr>
            <w:r>
              <w:rPr>
                <w:szCs w:val="18"/>
                <w:lang w:eastAsia="en-GB"/>
              </w:rPr>
              <w:t>1.05</w:t>
            </w:r>
          </w:p>
        </w:tc>
      </w:tr>
    </w:tbl>
    <w:p w:rsidR="001C4B55" w:rsidRDefault="001C4B55" w:rsidP="001C4B55">
      <w:pPr>
        <w:pStyle w:val="BulletedList"/>
        <w:numPr>
          <w:ilvl w:val="0"/>
          <w:numId w:val="0"/>
        </w:numPr>
        <w:ind w:left="187"/>
        <w:rPr>
          <w:kern w:val="16"/>
        </w:rPr>
      </w:pPr>
    </w:p>
    <w:p w:rsidR="008F0ED6" w:rsidRPr="001C4B55" w:rsidRDefault="001C4B55" w:rsidP="001C4B55">
      <w:pPr>
        <w:pStyle w:val="Heading3"/>
        <w:rPr>
          <w:kern w:val="16"/>
        </w:rPr>
      </w:pPr>
      <w:r>
        <w:rPr>
          <w:kern w:val="16"/>
        </w:rPr>
        <w:t>(</w:t>
      </w:r>
      <w:r w:rsidR="00EB679C">
        <w:rPr>
          <w:kern w:val="16"/>
        </w:rPr>
        <w:t>3</w:t>
      </w:r>
      <w:r>
        <w:rPr>
          <w:kern w:val="16"/>
        </w:rPr>
        <w:t>) 2010 operation and comparison of monitor readings with FLUKA simulations results</w:t>
      </w:r>
    </w:p>
    <w:p w:rsidR="00133F13" w:rsidRDefault="00EB679C" w:rsidP="00180040">
      <w:pPr>
        <w:spacing w:beforeLines="60" w:line="240" w:lineRule="exact"/>
        <w:ind w:firstLine="227"/>
        <w:rPr>
          <w:kern w:val="16"/>
        </w:rPr>
      </w:pPr>
      <w:r w:rsidRPr="0045379C">
        <w:rPr>
          <w:rFonts w:eastAsia="MS PMincho"/>
          <w:kern w:val="2"/>
          <w:lang w:eastAsia="ja-JP"/>
        </w:rPr>
        <w:t xml:space="preserve">Proton losses occur distributed on the collimators during all phases of accelerator operation. During the collimation study phase and their respective design and implementation </w:t>
      </w:r>
      <w:r w:rsidR="00F203C8">
        <w:rPr>
          <w:rFonts w:eastAsia="MS PMincho"/>
          <w:kern w:val="2"/>
          <w:lang w:eastAsia="ja-JP"/>
        </w:rPr>
        <w:t>into</w:t>
      </w:r>
      <w:r w:rsidRPr="0045379C">
        <w:rPr>
          <w:rFonts w:eastAsia="MS PMincho"/>
          <w:kern w:val="2"/>
          <w:lang w:eastAsia="ja-JP"/>
        </w:rPr>
        <w:t xml:space="preserve"> the LHC</w:t>
      </w:r>
      <w:r w:rsidR="00F433C4" w:rsidRPr="0045379C">
        <w:rPr>
          <w:rFonts w:eastAsia="MS PMincho"/>
          <w:kern w:val="2"/>
          <w:lang w:eastAsia="ja-JP"/>
        </w:rPr>
        <w:t>,</w:t>
      </w:r>
      <w:r w:rsidRPr="0045379C">
        <w:rPr>
          <w:rFonts w:eastAsia="MS PMincho"/>
          <w:kern w:val="2"/>
          <w:lang w:eastAsia="ja-JP"/>
        </w:rPr>
        <w:t xml:space="preserve"> detailed calculations were carried out based on SixTrack [</w:t>
      </w:r>
      <w:r w:rsidR="007E2B1D" w:rsidRPr="0045379C">
        <w:rPr>
          <w:rFonts w:eastAsia="MS PMincho"/>
          <w:kern w:val="2"/>
          <w:lang w:eastAsia="ja-JP"/>
        </w:rPr>
        <w:t>12</w:t>
      </w:r>
      <w:r w:rsidRPr="0045379C">
        <w:rPr>
          <w:rFonts w:eastAsia="MS PMincho"/>
          <w:kern w:val="2"/>
          <w:lang w:eastAsia="ja-JP"/>
        </w:rPr>
        <w:t xml:space="preserve">] for particle tracking and FLUKA [6, 7] for </w:t>
      </w:r>
      <w:r w:rsidR="00133F13">
        <w:rPr>
          <w:rFonts w:eastAsia="MS PMincho"/>
          <w:kern w:val="2"/>
          <w:lang w:eastAsia="ja-JP"/>
        </w:rPr>
        <w:t xml:space="preserve">various applications ranging from the characterisation of the radiation </w:t>
      </w:r>
      <w:r w:rsidRPr="0045379C">
        <w:rPr>
          <w:rFonts w:eastAsia="MS PMincho"/>
          <w:kern w:val="2"/>
          <w:lang w:eastAsia="ja-JP"/>
        </w:rPr>
        <w:t xml:space="preserve">field, radiation protection </w:t>
      </w:r>
      <w:r w:rsidR="00133F13">
        <w:rPr>
          <w:rFonts w:eastAsia="MS PMincho"/>
          <w:kern w:val="2"/>
          <w:lang w:eastAsia="ja-JP"/>
        </w:rPr>
        <w:t xml:space="preserve">issues </w:t>
      </w:r>
      <w:r w:rsidRPr="0045379C">
        <w:rPr>
          <w:rFonts w:eastAsia="MS PMincho"/>
          <w:kern w:val="2"/>
          <w:lang w:eastAsia="ja-JP"/>
        </w:rPr>
        <w:t xml:space="preserve">and energy </w:t>
      </w:r>
      <w:r w:rsidR="00F433C4" w:rsidRPr="0045379C">
        <w:rPr>
          <w:rFonts w:eastAsia="MS PMincho"/>
          <w:kern w:val="2"/>
          <w:lang w:eastAsia="ja-JP"/>
        </w:rPr>
        <w:t>deposition studies</w:t>
      </w:r>
      <w:r w:rsidR="00706BF5">
        <w:rPr>
          <w:rFonts w:eastAsia="MS PMincho"/>
          <w:kern w:val="2"/>
          <w:lang w:eastAsia="ja-JP"/>
        </w:rPr>
        <w:t>. This le</w:t>
      </w:r>
      <w:r w:rsidRPr="0045379C">
        <w:rPr>
          <w:rFonts w:eastAsia="MS PMincho"/>
          <w:kern w:val="2"/>
          <w:lang w:eastAsia="ja-JP"/>
        </w:rPr>
        <w:t>d to a very detailed FLUKA implementation of the collimation areas (IR3 and 7) [</w:t>
      </w:r>
      <w:r w:rsidR="007E2B1D" w:rsidRPr="0045379C">
        <w:rPr>
          <w:rFonts w:eastAsia="MS PMincho"/>
          <w:kern w:val="2"/>
          <w:lang w:eastAsia="ja-JP"/>
        </w:rPr>
        <w:t>13</w:t>
      </w:r>
      <w:r w:rsidRPr="0045379C">
        <w:rPr>
          <w:rFonts w:eastAsia="MS PMincho"/>
          <w:kern w:val="2"/>
          <w:lang w:eastAsia="ja-JP"/>
        </w:rPr>
        <w:t>], which is in the following used to compare the radiation levels as predicted by the particle loss distribution based on the tracking code</w:t>
      </w:r>
      <w:r w:rsidR="00F433C4" w:rsidRPr="0045379C">
        <w:rPr>
          <w:rFonts w:eastAsia="MS PMincho"/>
          <w:kern w:val="2"/>
          <w:lang w:eastAsia="ja-JP"/>
        </w:rPr>
        <w:t xml:space="preserve"> and</w:t>
      </w:r>
      <w:r w:rsidRPr="0045379C">
        <w:rPr>
          <w:rFonts w:eastAsia="MS PMincho"/>
          <w:kern w:val="2"/>
          <w:lang w:eastAsia="ja-JP"/>
        </w:rPr>
        <w:t xml:space="preserve"> the subsequent detailed FLUKA calculations </w:t>
      </w:r>
      <w:r w:rsidR="00F433C4" w:rsidRPr="0045379C">
        <w:rPr>
          <w:rFonts w:eastAsia="MS PMincho"/>
          <w:kern w:val="2"/>
          <w:lang w:eastAsia="ja-JP"/>
        </w:rPr>
        <w:t xml:space="preserve">with </w:t>
      </w:r>
      <w:r w:rsidRPr="0045379C">
        <w:rPr>
          <w:rFonts w:eastAsia="MS PMincho"/>
          <w:kern w:val="2"/>
          <w:lang w:eastAsia="ja-JP"/>
        </w:rPr>
        <w:t>RadMon measurements</w:t>
      </w:r>
      <w:r w:rsidR="00133F13">
        <w:rPr>
          <w:rFonts w:eastAsia="MS PMincho"/>
          <w:kern w:val="2"/>
          <w:lang w:eastAsia="ja-JP"/>
        </w:rPr>
        <w:t xml:space="preserve"> as obtained during 2010 </w:t>
      </w:r>
      <w:r w:rsidR="00B90943">
        <w:rPr>
          <w:rFonts w:eastAsia="MS PMincho"/>
          <w:kern w:val="2"/>
          <w:lang w:eastAsia="ja-JP"/>
        </w:rPr>
        <w:t xml:space="preserve">3.5TeV </w:t>
      </w:r>
      <w:r w:rsidR="00133F13">
        <w:rPr>
          <w:rFonts w:eastAsia="MS PMincho"/>
          <w:kern w:val="2"/>
          <w:lang w:eastAsia="ja-JP"/>
        </w:rPr>
        <w:t>LHC operation</w:t>
      </w:r>
      <w:r w:rsidRPr="0045379C">
        <w:rPr>
          <w:rFonts w:eastAsia="MS PMincho"/>
          <w:kern w:val="2"/>
          <w:lang w:eastAsia="ja-JP"/>
        </w:rPr>
        <w:t xml:space="preserve">.   </w:t>
      </w:r>
    </w:p>
    <w:p w:rsidR="00EB679C" w:rsidRPr="00133F13" w:rsidRDefault="00133F13" w:rsidP="00180040">
      <w:pPr>
        <w:spacing w:beforeLines="60" w:line="240" w:lineRule="exact"/>
        <w:ind w:firstLine="227"/>
        <w:rPr>
          <w:rFonts w:eastAsia="MS PMincho"/>
          <w:kern w:val="2"/>
          <w:lang w:eastAsia="ja-JP"/>
        </w:rPr>
      </w:pPr>
      <w:r w:rsidRPr="00133F13">
        <w:rPr>
          <w:rFonts w:eastAsia="MS PMincho"/>
          <w:kern w:val="2"/>
          <w:lang w:eastAsia="ja-JP"/>
        </w:rPr>
        <w:t xml:space="preserve">Based on the loss distribution between the various collimators </w:t>
      </w:r>
      <w:r>
        <w:rPr>
          <w:rFonts w:eastAsia="MS PMincho"/>
          <w:kern w:val="2"/>
          <w:lang w:eastAsia="ja-JP"/>
        </w:rPr>
        <w:t xml:space="preserve">the actual loss location of the primary protons is sampled as source term in the FLUKA calculations. The secondary particle distribution is then tracked in detail along the more than 500m long geometry of the long straight section </w:t>
      </w:r>
      <w:r w:rsidR="00B90943">
        <w:rPr>
          <w:rFonts w:eastAsia="MS PMincho"/>
          <w:kern w:val="2"/>
          <w:lang w:eastAsia="ja-JP"/>
        </w:rPr>
        <w:t xml:space="preserve">and </w:t>
      </w:r>
      <w:r>
        <w:rPr>
          <w:rFonts w:eastAsia="MS PMincho"/>
          <w:kern w:val="2"/>
          <w:lang w:eastAsia="ja-JP"/>
        </w:rPr>
        <w:t xml:space="preserve">for about half a million of primary </w:t>
      </w:r>
      <w:r>
        <w:rPr>
          <w:rFonts w:eastAsia="MS PMincho"/>
          <w:kern w:val="2"/>
          <w:lang w:eastAsia="ja-JP"/>
        </w:rPr>
        <w:lastRenderedPageBreak/>
        <w:t>particles in order to allow for reasonable statistics at the monitor locations (the DS/ARC section</w:t>
      </w:r>
      <w:r w:rsidR="00F203C8">
        <w:rPr>
          <w:rFonts w:eastAsia="MS PMincho"/>
          <w:kern w:val="2"/>
          <w:lang w:eastAsia="ja-JP"/>
        </w:rPr>
        <w:t>s are</w:t>
      </w:r>
      <w:r>
        <w:rPr>
          <w:rFonts w:eastAsia="MS PMincho"/>
          <w:kern w:val="2"/>
          <w:lang w:eastAsia="ja-JP"/>
        </w:rPr>
        <w:t xml:space="preserve"> disabled in the case of these simulations). Strong radiation gradients exist in IR7 between the area of the primary collimators and the downstream critical areas (UJ76 or RR77) as can be seen in Figure 6 where the </w:t>
      </w:r>
      <w:r w:rsidR="00B90943">
        <w:rPr>
          <w:rFonts w:eastAsia="MS PMincho"/>
          <w:kern w:val="2"/>
          <w:lang w:eastAsia="ja-JP"/>
        </w:rPr>
        <w:t xml:space="preserve">FLUKA </w:t>
      </w:r>
      <w:r>
        <w:rPr>
          <w:rFonts w:eastAsia="MS PMincho"/>
          <w:kern w:val="2"/>
          <w:lang w:eastAsia="ja-JP"/>
        </w:rPr>
        <w:t xml:space="preserve">results </w:t>
      </w:r>
      <w:r w:rsidR="00B90943">
        <w:rPr>
          <w:rFonts w:eastAsia="MS PMincho"/>
          <w:kern w:val="2"/>
          <w:lang w:eastAsia="ja-JP"/>
        </w:rPr>
        <w:t xml:space="preserve">for </w:t>
      </w:r>
      <w:r>
        <w:rPr>
          <w:rFonts w:eastAsia="MS PMincho"/>
          <w:kern w:val="2"/>
          <w:lang w:eastAsia="ja-JP"/>
        </w:rPr>
        <w:t xml:space="preserve">beam-1 </w:t>
      </w:r>
      <w:r w:rsidR="00B90943">
        <w:rPr>
          <w:rFonts w:eastAsia="MS PMincho"/>
          <w:kern w:val="2"/>
          <w:lang w:eastAsia="ja-JP"/>
        </w:rPr>
        <w:t xml:space="preserve">induced losses </w:t>
      </w:r>
      <w:r>
        <w:rPr>
          <w:rFonts w:eastAsia="MS PMincho"/>
          <w:kern w:val="2"/>
          <w:lang w:eastAsia="ja-JP"/>
        </w:rPr>
        <w:t>are shown.</w:t>
      </w:r>
    </w:p>
    <w:p w:rsidR="00133F13" w:rsidRDefault="00133F13" w:rsidP="00133F13">
      <w:pPr>
        <w:pStyle w:val="BulletedList"/>
        <w:numPr>
          <w:ilvl w:val="0"/>
          <w:numId w:val="0"/>
        </w:numPr>
        <w:ind w:left="389" w:hanging="202"/>
        <w:rPr>
          <w:kern w:val="16"/>
        </w:rPr>
      </w:pPr>
    </w:p>
    <w:p w:rsidR="00EB679C" w:rsidRDefault="007669DD" w:rsidP="007669DD">
      <w:pPr>
        <w:pStyle w:val="BulletedList"/>
        <w:numPr>
          <w:ilvl w:val="0"/>
          <w:numId w:val="0"/>
        </w:numPr>
        <w:rPr>
          <w:kern w:val="16"/>
        </w:rPr>
      </w:pPr>
      <w:r>
        <w:rPr>
          <w:noProof/>
          <w:kern w:val="16"/>
          <w:lang w:val="en-US"/>
        </w:rPr>
        <w:drawing>
          <wp:inline distT="0" distB="0" distL="0" distR="0">
            <wp:extent cx="2968625" cy="1937678"/>
            <wp:effectExtent l="1905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68625" cy="1937678"/>
                    </a:xfrm>
                    <a:prstGeom prst="rect">
                      <a:avLst/>
                    </a:prstGeom>
                    <a:noFill/>
                    <a:ln w="9525">
                      <a:noFill/>
                      <a:miter lim="800000"/>
                      <a:headEnd/>
                      <a:tailEnd/>
                    </a:ln>
                  </pic:spPr>
                </pic:pic>
              </a:graphicData>
            </a:graphic>
          </wp:inline>
        </w:drawing>
      </w:r>
    </w:p>
    <w:p w:rsidR="00133F13" w:rsidRDefault="00133F13" w:rsidP="00180040">
      <w:pPr>
        <w:pStyle w:val="FigureCaption0"/>
        <w:jc w:val="both"/>
        <w:rPr>
          <w:kern w:val="16"/>
        </w:rPr>
      </w:pPr>
      <w:r>
        <w:rPr>
          <w:kern w:val="16"/>
        </w:rPr>
        <w:t xml:space="preserve">Figure </w:t>
      </w:r>
      <w:r w:rsidR="007669DD">
        <w:rPr>
          <w:kern w:val="16"/>
        </w:rPr>
        <w:t>6</w:t>
      </w:r>
      <w:r>
        <w:rPr>
          <w:kern w:val="16"/>
        </w:rPr>
        <w:t xml:space="preserve">: </w:t>
      </w:r>
      <w:r w:rsidRPr="008F0ED6">
        <w:rPr>
          <w:kern w:val="16"/>
        </w:rPr>
        <w:t xml:space="preserve">High-energy </w:t>
      </w:r>
      <w:proofErr w:type="spellStart"/>
      <w:r w:rsidRPr="008F0ED6">
        <w:rPr>
          <w:kern w:val="16"/>
        </w:rPr>
        <w:t>hadron</w:t>
      </w:r>
      <w:proofErr w:type="spellEnd"/>
      <w:r w:rsidRPr="008F0ED6">
        <w:rPr>
          <w:kern w:val="16"/>
        </w:rPr>
        <w:t xml:space="preserve"> </w:t>
      </w:r>
      <w:proofErr w:type="spellStart"/>
      <w:r w:rsidRPr="008F0ED6">
        <w:rPr>
          <w:kern w:val="16"/>
        </w:rPr>
        <w:t>fluence</w:t>
      </w:r>
      <w:proofErr w:type="spellEnd"/>
      <w:r w:rsidRPr="008F0ED6">
        <w:rPr>
          <w:kern w:val="16"/>
        </w:rPr>
        <w:t xml:space="preserve"> distribution </w:t>
      </w:r>
      <w:r>
        <w:rPr>
          <w:kern w:val="16"/>
        </w:rPr>
        <w:t>along the full long-straight-section of IR7 and for primary losses occurring for beam-1 only</w:t>
      </w:r>
      <w:r w:rsidRPr="008F0ED6">
        <w:rPr>
          <w:rFonts w:hint="eastAsia"/>
          <w:kern w:val="16"/>
        </w:rPr>
        <w:t>.</w:t>
      </w:r>
    </w:p>
    <w:p w:rsidR="00C76E67" w:rsidRDefault="00C76E67" w:rsidP="00C76E67">
      <w:pPr>
        <w:pStyle w:val="BodyTextIndent"/>
        <w:rPr>
          <w:kern w:val="16"/>
        </w:rPr>
      </w:pPr>
      <w:r>
        <w:rPr>
          <w:kern w:val="16"/>
        </w:rPr>
        <w:t xml:space="preserve">In a first approximation and for the location of the </w:t>
      </w:r>
      <w:proofErr w:type="spellStart"/>
      <w:r>
        <w:rPr>
          <w:kern w:val="16"/>
        </w:rPr>
        <w:t>RadMon</w:t>
      </w:r>
      <w:proofErr w:type="spellEnd"/>
      <w:r>
        <w:rPr>
          <w:kern w:val="16"/>
        </w:rPr>
        <w:t xml:space="preserve"> detectors </w:t>
      </w:r>
      <w:r w:rsidR="00F203C8">
        <w:rPr>
          <w:kern w:val="16"/>
        </w:rPr>
        <w:t>(</w:t>
      </w:r>
      <w:r w:rsidR="007669DD">
        <w:rPr>
          <w:kern w:val="16"/>
        </w:rPr>
        <w:t xml:space="preserve">see Figure 6 and detectors numbered as </w:t>
      </w:r>
      <w:r w:rsidR="00F203C8">
        <w:rPr>
          <w:kern w:val="16"/>
        </w:rPr>
        <w:t xml:space="preserve">LM01-03, RM03-06) </w:t>
      </w:r>
      <w:r>
        <w:rPr>
          <w:kern w:val="16"/>
        </w:rPr>
        <w:t xml:space="preserve">the particle losses between beam-1 and beam-2 can be considered as symmetric, thus allowing to </w:t>
      </w:r>
      <w:r w:rsidR="00DB4A29">
        <w:rPr>
          <w:kern w:val="16"/>
        </w:rPr>
        <w:t>mirror</w:t>
      </w:r>
      <w:r>
        <w:rPr>
          <w:kern w:val="16"/>
        </w:rPr>
        <w:t xml:space="preserve"> the radiation levels against the IP providing </w:t>
      </w:r>
      <w:r w:rsidR="00F203C8">
        <w:rPr>
          <w:kern w:val="16"/>
        </w:rPr>
        <w:t xml:space="preserve">this way </w:t>
      </w:r>
      <w:r>
        <w:rPr>
          <w:kern w:val="16"/>
        </w:rPr>
        <w:t>a complete radiation map for all monitor locations expressed as high-energy hadron fl</w:t>
      </w:r>
      <w:r w:rsidR="00F203C8">
        <w:rPr>
          <w:kern w:val="16"/>
        </w:rPr>
        <w:t>uence per primary lost particle.</w:t>
      </w:r>
    </w:p>
    <w:p w:rsidR="00C76E67" w:rsidRDefault="00C76E67" w:rsidP="00C76E67">
      <w:pPr>
        <w:pStyle w:val="BodyTextIndent"/>
        <w:rPr>
          <w:kern w:val="16"/>
        </w:rPr>
      </w:pPr>
    </w:p>
    <w:p w:rsidR="00C76E67" w:rsidRDefault="00F203C8" w:rsidP="00C76E67">
      <w:pPr>
        <w:pStyle w:val="BodyTextIndent"/>
        <w:rPr>
          <w:kern w:val="16"/>
        </w:rPr>
      </w:pPr>
      <w:r>
        <w:rPr>
          <w:kern w:val="16"/>
        </w:rPr>
        <w:t>To normalize the calculation results to the absolute values, i</w:t>
      </w:r>
      <w:r w:rsidR="00C76E67">
        <w:rPr>
          <w:kern w:val="16"/>
        </w:rPr>
        <w:t xml:space="preserve">n a next step the total number of particles lost in IR7 during 2010 LHC operation has to be determined in order to correctly compare the </w:t>
      </w:r>
      <w:r>
        <w:rPr>
          <w:kern w:val="16"/>
        </w:rPr>
        <w:t xml:space="preserve">obtained </w:t>
      </w:r>
      <w:r w:rsidR="00B90943">
        <w:rPr>
          <w:kern w:val="16"/>
        </w:rPr>
        <w:t xml:space="preserve">high-energy hadron fluence </w:t>
      </w:r>
      <w:r w:rsidR="00C76E67">
        <w:rPr>
          <w:kern w:val="16"/>
        </w:rPr>
        <w:t xml:space="preserve">to the </w:t>
      </w:r>
      <w:r w:rsidR="00B90943">
        <w:rPr>
          <w:kern w:val="16"/>
        </w:rPr>
        <w:t xml:space="preserve">respective </w:t>
      </w:r>
      <w:r>
        <w:rPr>
          <w:kern w:val="16"/>
        </w:rPr>
        <w:t xml:space="preserve">cumulative </w:t>
      </w:r>
      <w:r w:rsidR="00B90943">
        <w:rPr>
          <w:kern w:val="16"/>
        </w:rPr>
        <w:t>monitor readings</w:t>
      </w:r>
      <w:r w:rsidR="00C76E67">
        <w:rPr>
          <w:kern w:val="16"/>
        </w:rPr>
        <w:t>. The particle losses at the collimators being distributed and changing between the various phases of beam operation (</w:t>
      </w:r>
      <w:r w:rsidR="00C76E67" w:rsidRPr="00C76E67">
        <w:rPr>
          <w:i/>
          <w:kern w:val="16"/>
        </w:rPr>
        <w:t>e.g.</w:t>
      </w:r>
      <w:r w:rsidR="00C76E67">
        <w:rPr>
          <w:kern w:val="16"/>
        </w:rPr>
        <w:t xml:space="preserve"> ramp, squeeze, physics), </w:t>
      </w:r>
      <w:r w:rsidR="00B90943">
        <w:rPr>
          <w:kern w:val="16"/>
        </w:rPr>
        <w:t xml:space="preserve">together with the fact that there is no direct measurement </w:t>
      </w:r>
      <w:r>
        <w:rPr>
          <w:kern w:val="16"/>
        </w:rPr>
        <w:t xml:space="preserve">providing the detailed number of </w:t>
      </w:r>
      <w:r w:rsidR="00B90943">
        <w:rPr>
          <w:kern w:val="16"/>
        </w:rPr>
        <w:t xml:space="preserve">lost particles </w:t>
      </w:r>
      <w:r>
        <w:rPr>
          <w:kern w:val="16"/>
        </w:rPr>
        <w:t xml:space="preserve">for each </w:t>
      </w:r>
      <w:r w:rsidR="00B90943">
        <w:rPr>
          <w:kern w:val="16"/>
        </w:rPr>
        <w:t>collimator</w:t>
      </w:r>
      <w:r>
        <w:rPr>
          <w:kern w:val="16"/>
        </w:rPr>
        <w:t>, the</w:t>
      </w:r>
      <w:r w:rsidR="00B90943">
        <w:rPr>
          <w:kern w:val="16"/>
        </w:rPr>
        <w:t xml:space="preserve"> </w:t>
      </w:r>
      <w:r w:rsidR="00C76E67">
        <w:rPr>
          <w:kern w:val="16"/>
        </w:rPr>
        <w:t xml:space="preserve">following procedure has been applied to determine the total number of protons lost </w:t>
      </w:r>
      <w:r w:rsidR="00E90B0D">
        <w:rPr>
          <w:kern w:val="16"/>
        </w:rPr>
        <w:t xml:space="preserve">in IR7 </w:t>
      </w:r>
      <w:r w:rsidR="00C76E67">
        <w:rPr>
          <w:kern w:val="16"/>
        </w:rPr>
        <w:t>during 2010 operation</w:t>
      </w:r>
      <w:r w:rsidR="00720F50">
        <w:rPr>
          <w:kern w:val="16"/>
        </w:rPr>
        <w:t xml:space="preserve"> (see Tables 5 and 6)</w:t>
      </w:r>
      <w:r w:rsidR="00C76E67">
        <w:rPr>
          <w:kern w:val="16"/>
        </w:rPr>
        <w:t xml:space="preserve">: </w:t>
      </w:r>
    </w:p>
    <w:p w:rsidR="00C76E67" w:rsidRDefault="00C76E67" w:rsidP="00C76E67">
      <w:pPr>
        <w:pStyle w:val="BodyTextIndent"/>
        <w:numPr>
          <w:ilvl w:val="0"/>
          <w:numId w:val="23"/>
        </w:numPr>
        <w:rPr>
          <w:kern w:val="16"/>
        </w:rPr>
      </w:pPr>
      <w:r>
        <w:rPr>
          <w:kern w:val="16"/>
        </w:rPr>
        <w:t>based on the LHC BCTs as logged in TIMBER for each fill the highest intensity in the machine is considered as ‘injected intensity’</w:t>
      </w:r>
      <w:r w:rsidR="00720F50">
        <w:rPr>
          <w:kern w:val="16"/>
        </w:rPr>
        <w:t xml:space="preserve"> (see Table 5)</w:t>
      </w:r>
    </w:p>
    <w:p w:rsidR="00720F50" w:rsidRDefault="00720F50" w:rsidP="00C76E67">
      <w:pPr>
        <w:pStyle w:val="BodyTextIndent"/>
        <w:numPr>
          <w:ilvl w:val="0"/>
          <w:numId w:val="23"/>
        </w:numPr>
        <w:rPr>
          <w:kern w:val="16"/>
        </w:rPr>
      </w:pPr>
      <w:r>
        <w:rPr>
          <w:kern w:val="16"/>
        </w:rPr>
        <w:t>right before the dump of the beam the last intensity value is considered as ‘dumped intensity’  (see Table 5)</w:t>
      </w:r>
    </w:p>
    <w:p w:rsidR="00720F50" w:rsidRDefault="00720F50" w:rsidP="00C76E67">
      <w:pPr>
        <w:pStyle w:val="BodyTextIndent"/>
        <w:numPr>
          <w:ilvl w:val="0"/>
          <w:numId w:val="23"/>
        </w:numPr>
        <w:rPr>
          <w:kern w:val="16"/>
        </w:rPr>
      </w:pPr>
      <w:r>
        <w:rPr>
          <w:kern w:val="16"/>
        </w:rPr>
        <w:t>the difference between the two values is assumed to be ‘lost’ in the machine mainly between collisions at the experiments and collimators</w:t>
      </w:r>
    </w:p>
    <w:p w:rsidR="00720F50" w:rsidRDefault="00720F50" w:rsidP="00C76E67">
      <w:pPr>
        <w:pStyle w:val="BodyTextIndent"/>
        <w:numPr>
          <w:ilvl w:val="0"/>
          <w:numId w:val="23"/>
        </w:numPr>
        <w:rPr>
          <w:kern w:val="16"/>
        </w:rPr>
      </w:pPr>
      <w:proofErr w:type="gramStart"/>
      <w:r>
        <w:rPr>
          <w:kern w:val="16"/>
        </w:rPr>
        <w:t>for</w:t>
      </w:r>
      <w:proofErr w:type="gramEnd"/>
      <w:r>
        <w:rPr>
          <w:kern w:val="16"/>
        </w:rPr>
        <w:t xml:space="preserve"> the number of interactions in the experiments, their total luminosity is used together with an assumed</w:t>
      </w:r>
      <w:r w:rsidR="00E90B0D">
        <w:rPr>
          <w:kern w:val="16"/>
        </w:rPr>
        <w:t xml:space="preserve"> total</w:t>
      </w:r>
      <w:r>
        <w:rPr>
          <w:kern w:val="16"/>
        </w:rPr>
        <w:t xml:space="preserve"> inelastic cross section of 80m</w:t>
      </w:r>
      <w:r w:rsidR="007669DD">
        <w:rPr>
          <w:kern w:val="16"/>
        </w:rPr>
        <w:t>b</w:t>
      </w:r>
      <w:r>
        <w:rPr>
          <w:kern w:val="16"/>
        </w:rPr>
        <w:t>.</w:t>
      </w:r>
    </w:p>
    <w:p w:rsidR="00720F50" w:rsidRDefault="00720F50" w:rsidP="00C76E67">
      <w:pPr>
        <w:pStyle w:val="BodyTextIndent"/>
        <w:numPr>
          <w:ilvl w:val="0"/>
          <w:numId w:val="23"/>
        </w:numPr>
        <w:rPr>
          <w:kern w:val="16"/>
        </w:rPr>
      </w:pPr>
      <w:r>
        <w:rPr>
          <w:kern w:val="16"/>
        </w:rPr>
        <w:lastRenderedPageBreak/>
        <w:t>the remaining intensity mainly refers to the collimators in the two collimation insertions (IR3 and IR7), and to determine the fraction of protons being lost in IR7 the BLM signals close to the collimators are used, in particular the cumulative dose at the first secondary collimator (see</w:t>
      </w:r>
      <w:r w:rsidR="002D0307">
        <w:rPr>
          <w:kern w:val="16"/>
        </w:rPr>
        <w:t xml:space="preserve"> Table 6)</w:t>
      </w:r>
      <w:r>
        <w:rPr>
          <w:kern w:val="16"/>
        </w:rPr>
        <w:t xml:space="preserve"> </w:t>
      </w:r>
    </w:p>
    <w:p w:rsidR="00B52ABA" w:rsidRDefault="00B52ABA" w:rsidP="00B52ABA">
      <w:pPr>
        <w:pStyle w:val="BulletedList"/>
        <w:numPr>
          <w:ilvl w:val="0"/>
          <w:numId w:val="0"/>
        </w:numPr>
        <w:ind w:left="187"/>
        <w:rPr>
          <w:kern w:val="16"/>
        </w:rPr>
      </w:pPr>
    </w:p>
    <w:p w:rsidR="00720F50" w:rsidRDefault="00720F50" w:rsidP="00180040">
      <w:pPr>
        <w:pStyle w:val="TableCaption0"/>
        <w:jc w:val="both"/>
        <w:rPr>
          <w:kern w:val="16"/>
        </w:rPr>
      </w:pPr>
      <w:r>
        <w:rPr>
          <w:kern w:val="16"/>
        </w:rPr>
        <w:t>Table 5: Summary on injected, dumped and lost protons during 2010 LHC operation</w:t>
      </w:r>
      <w:r w:rsidRPr="008F0ED6">
        <w:rPr>
          <w:kern w:val="16"/>
        </w:rPr>
        <w:t>.</w:t>
      </w:r>
    </w:p>
    <w:p w:rsidR="00EB679C" w:rsidRDefault="00EB679C" w:rsidP="00720F50">
      <w:pPr>
        <w:pStyle w:val="BulletedList"/>
        <w:numPr>
          <w:ilvl w:val="0"/>
          <w:numId w:val="0"/>
        </w:numPr>
        <w:ind w:left="187"/>
        <w:jc w:val="center"/>
        <w:rPr>
          <w:kern w:val="16"/>
        </w:rPr>
      </w:pPr>
      <w:r>
        <w:rPr>
          <w:noProof/>
          <w:kern w:val="16"/>
          <w:lang w:val="en-US"/>
        </w:rPr>
        <w:drawing>
          <wp:inline distT="0" distB="0" distL="0" distR="0">
            <wp:extent cx="1994749" cy="1488830"/>
            <wp:effectExtent l="19050" t="0" r="5501"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93337" cy="1487776"/>
                    </a:xfrm>
                    <a:prstGeom prst="rect">
                      <a:avLst/>
                    </a:prstGeom>
                    <a:noFill/>
                    <a:ln w="9525">
                      <a:noFill/>
                      <a:miter lim="800000"/>
                      <a:headEnd/>
                      <a:tailEnd/>
                    </a:ln>
                  </pic:spPr>
                </pic:pic>
              </a:graphicData>
            </a:graphic>
          </wp:inline>
        </w:drawing>
      </w:r>
    </w:p>
    <w:p w:rsidR="00720F50" w:rsidRDefault="00720F50" w:rsidP="00720F50">
      <w:pPr>
        <w:pStyle w:val="TableCaption0"/>
        <w:rPr>
          <w:kern w:val="16"/>
        </w:rPr>
      </w:pPr>
    </w:p>
    <w:p w:rsidR="00EB679C" w:rsidRDefault="00720F50" w:rsidP="00180040">
      <w:pPr>
        <w:pStyle w:val="TableCaption0"/>
        <w:jc w:val="both"/>
        <w:rPr>
          <w:kern w:val="16"/>
        </w:rPr>
      </w:pPr>
      <w:r>
        <w:rPr>
          <w:kern w:val="16"/>
        </w:rPr>
        <w:t>Table 6: Ratio of cumulative BLM readings at the first secondary collimator in IR3 and IR7</w:t>
      </w:r>
      <w:r w:rsidRPr="008F0ED6">
        <w:rPr>
          <w:kern w:val="16"/>
        </w:rPr>
        <w:t>.</w:t>
      </w:r>
      <w:r>
        <w:rPr>
          <w:kern w:val="16"/>
        </w:rPr>
        <w:t xml:space="preserve"> The ratio is used to determine the fraction of the total losses as accumulated in IR7 during 2010 LHC operation.</w:t>
      </w:r>
    </w:p>
    <w:p w:rsidR="00EB679C" w:rsidRDefault="00EB679C" w:rsidP="00B52ABA">
      <w:pPr>
        <w:pStyle w:val="BulletedList"/>
        <w:numPr>
          <w:ilvl w:val="0"/>
          <w:numId w:val="0"/>
        </w:numPr>
        <w:ind w:left="187"/>
        <w:rPr>
          <w:kern w:val="16"/>
        </w:rPr>
      </w:pPr>
      <w:r>
        <w:rPr>
          <w:noProof/>
          <w:kern w:val="16"/>
          <w:lang w:val="en-US"/>
        </w:rPr>
        <w:drawing>
          <wp:inline distT="0" distB="0" distL="0" distR="0">
            <wp:extent cx="2622550" cy="724641"/>
            <wp:effectExtent l="19050" t="0" r="635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641684" cy="729928"/>
                    </a:xfrm>
                    <a:prstGeom prst="rect">
                      <a:avLst/>
                    </a:prstGeom>
                    <a:noFill/>
                    <a:ln w="9525">
                      <a:noFill/>
                      <a:miter lim="800000"/>
                      <a:headEnd/>
                      <a:tailEnd/>
                    </a:ln>
                  </pic:spPr>
                </pic:pic>
              </a:graphicData>
            </a:graphic>
          </wp:inline>
        </w:drawing>
      </w:r>
    </w:p>
    <w:p w:rsidR="00EB679C" w:rsidRDefault="00EB679C" w:rsidP="00B52ABA">
      <w:pPr>
        <w:pStyle w:val="BulletedList"/>
        <w:numPr>
          <w:ilvl w:val="0"/>
          <w:numId w:val="0"/>
        </w:numPr>
        <w:ind w:left="187"/>
        <w:rPr>
          <w:kern w:val="16"/>
        </w:rPr>
      </w:pPr>
    </w:p>
    <w:p w:rsidR="002D0307" w:rsidRDefault="002D0307" w:rsidP="002D0307">
      <w:pPr>
        <w:pStyle w:val="BodyTextIndent"/>
        <w:rPr>
          <w:kern w:val="16"/>
        </w:rPr>
      </w:pPr>
      <w:r>
        <w:rPr>
          <w:kern w:val="16"/>
        </w:rPr>
        <w:t>The RadMon detectors measure number of upsets in their SRAM memory which is proportional to the particle fluence</w:t>
      </w:r>
      <w:r w:rsidR="000D72E6">
        <w:rPr>
          <w:kern w:val="16"/>
        </w:rPr>
        <w:t xml:space="preserve">. For charged particles the memory is sensitive to high energy particles (&gt;20MeV) only, while for neutrons also intermediate energies (5-20MeV) and thermal neutrons (&lt;0.5eV) have to be considered. In order to allow for a complete response analysis of the RadMon memory, a series of calibration measurements were carried out at CERN (CERF, CNRAD) as well as at dedicated mono-energetic facilities (PTB, </w:t>
      </w:r>
      <w:r w:rsidR="00195AD5">
        <w:rPr>
          <w:kern w:val="16"/>
        </w:rPr>
        <w:t xml:space="preserve">NRI) [14, 15]. The particle energy spectra as obtained by the FLUKA simulation in combination with the measured thermal neutron component at a few representative locations in IR7 (based on combined 3V and 5V RadMon measurements, as well as dedicated TLD detectors) allow to </w:t>
      </w:r>
      <w:r w:rsidR="00E418C3">
        <w:rPr>
          <w:kern w:val="16"/>
        </w:rPr>
        <w:t xml:space="preserve">predict the number of memory upsets based on the FLUKA simulations and compare them with the 2010 measurements as shown in Table 7. </w:t>
      </w:r>
    </w:p>
    <w:p w:rsidR="00E418C3" w:rsidRDefault="00E418C3" w:rsidP="00677871">
      <w:pPr>
        <w:pStyle w:val="BodyTextIndent"/>
        <w:ind w:firstLine="0"/>
        <w:rPr>
          <w:kern w:val="16"/>
        </w:rPr>
      </w:pPr>
    </w:p>
    <w:p w:rsidR="00636E96" w:rsidRDefault="00F01982" w:rsidP="002D0307">
      <w:pPr>
        <w:pStyle w:val="BodyTextIndent"/>
        <w:rPr>
          <w:kern w:val="16"/>
        </w:rPr>
      </w:pPr>
      <w:r>
        <w:rPr>
          <w:kern w:val="16"/>
        </w:rPr>
        <w:t xml:space="preserve">As can be seen in Table 7, a very good agreement between measurements and simulations can be obtained even in situations with a very complex geometry, varying beam loss conditions and difficult particle energy fields where the calibration of detectors has to be carefully looked at. </w:t>
      </w:r>
    </w:p>
    <w:p w:rsidR="00677871" w:rsidRDefault="00677871" w:rsidP="00677871">
      <w:pPr>
        <w:pStyle w:val="TableCaption0"/>
        <w:rPr>
          <w:kern w:val="16"/>
        </w:rPr>
      </w:pPr>
    </w:p>
    <w:p w:rsidR="00677871" w:rsidRPr="008F0ED6" w:rsidRDefault="00677871" w:rsidP="00180040">
      <w:pPr>
        <w:pStyle w:val="TableCaption0"/>
        <w:jc w:val="both"/>
        <w:rPr>
          <w:kern w:val="16"/>
        </w:rPr>
      </w:pPr>
      <w:proofErr w:type="gramStart"/>
      <w:r>
        <w:rPr>
          <w:kern w:val="16"/>
        </w:rPr>
        <w:lastRenderedPageBreak/>
        <w:t xml:space="preserve">Table 7: </w:t>
      </w:r>
      <w:r w:rsidRPr="008F0ED6">
        <w:rPr>
          <w:kern w:val="16"/>
        </w:rPr>
        <w:t xml:space="preserve">Comparison between FLUKA simulation and </w:t>
      </w:r>
      <w:proofErr w:type="spellStart"/>
      <w:r w:rsidRPr="008F0ED6">
        <w:rPr>
          <w:kern w:val="16"/>
        </w:rPr>
        <w:t>RadMon</w:t>
      </w:r>
      <w:proofErr w:type="spellEnd"/>
      <w:r w:rsidRPr="008F0ED6">
        <w:rPr>
          <w:kern w:val="16"/>
        </w:rPr>
        <w:t xml:space="preserve"> measurements</w:t>
      </w:r>
      <w:r>
        <w:rPr>
          <w:kern w:val="16"/>
        </w:rPr>
        <w:t xml:space="preserve"> for the IR7 tunnel locations</w:t>
      </w:r>
      <w:r w:rsidRPr="008F0ED6">
        <w:rPr>
          <w:kern w:val="16"/>
        </w:rPr>
        <w:t>.</w:t>
      </w:r>
      <w:proofErr w:type="gramEnd"/>
      <w:r>
        <w:rPr>
          <w:kern w:val="16"/>
        </w:rPr>
        <w:t xml:space="preserve"> The number of measured and calculated memory upsets are compared and the contributing beams are listed.</w:t>
      </w:r>
    </w:p>
    <w:tbl>
      <w:tblPr>
        <w:tblStyle w:val="TableSimple1"/>
        <w:tblW w:w="0" w:type="auto"/>
        <w:tblInd w:w="192" w:type="dxa"/>
        <w:tblLayout w:type="fixed"/>
        <w:tblLook w:val="00A0"/>
      </w:tblPr>
      <w:tblGrid>
        <w:gridCol w:w="996"/>
        <w:gridCol w:w="1080"/>
        <w:gridCol w:w="810"/>
        <w:gridCol w:w="990"/>
        <w:gridCol w:w="823"/>
      </w:tblGrid>
      <w:tr w:rsidR="00677871" w:rsidRPr="00782173" w:rsidTr="007669DD">
        <w:trPr>
          <w:cnfStyle w:val="100000000000"/>
          <w:trHeight w:val="180"/>
        </w:trPr>
        <w:tc>
          <w:tcPr>
            <w:tcW w:w="996" w:type="dxa"/>
            <w:tcBorders>
              <w:top w:val="single" w:sz="8" w:space="0" w:color="auto"/>
              <w:bottom w:val="single" w:sz="4" w:space="0" w:color="auto"/>
            </w:tcBorders>
            <w:vAlign w:val="center"/>
          </w:tcPr>
          <w:p w:rsidR="00677871" w:rsidRPr="00E418C3" w:rsidRDefault="00677871" w:rsidP="00180040">
            <w:pPr>
              <w:pStyle w:val="BodyText"/>
              <w:spacing w:beforeLines="60" w:line="220" w:lineRule="exact"/>
              <w:jc w:val="center"/>
              <w:rPr>
                <w:rFonts w:eastAsia="MS Mincho"/>
                <w:bCs/>
                <w:szCs w:val="20"/>
                <w:lang w:eastAsia="ja-JP"/>
              </w:rPr>
            </w:pPr>
            <w:proofErr w:type="spellStart"/>
            <w:r w:rsidRPr="00E418C3">
              <w:rPr>
                <w:b/>
                <w:szCs w:val="20"/>
              </w:rPr>
              <w:t>RadMon</w:t>
            </w:r>
            <w:proofErr w:type="spellEnd"/>
          </w:p>
        </w:tc>
        <w:tc>
          <w:tcPr>
            <w:tcW w:w="1080" w:type="dxa"/>
            <w:tcBorders>
              <w:top w:val="single" w:sz="8" w:space="0" w:color="auto"/>
              <w:bottom w:val="single" w:sz="4" w:space="0" w:color="auto"/>
            </w:tcBorders>
            <w:vAlign w:val="center"/>
          </w:tcPr>
          <w:p w:rsidR="00677871" w:rsidRPr="00E418C3" w:rsidRDefault="00677871" w:rsidP="00180040">
            <w:pPr>
              <w:spacing w:beforeLines="60"/>
              <w:jc w:val="center"/>
              <w:rPr>
                <w:b/>
                <w:szCs w:val="20"/>
                <w:lang w:eastAsia="en-GB"/>
              </w:rPr>
            </w:pPr>
            <w:r>
              <w:rPr>
                <w:b/>
                <w:szCs w:val="20"/>
                <w:lang w:eastAsia="en-GB"/>
              </w:rPr>
              <w:t>#</w:t>
            </w:r>
            <w:proofErr w:type="spellStart"/>
            <w:r w:rsidRPr="00E418C3">
              <w:rPr>
                <w:b/>
                <w:szCs w:val="20"/>
                <w:lang w:eastAsia="en-GB"/>
              </w:rPr>
              <w:t>SEUs</w:t>
            </w:r>
            <w:proofErr w:type="spellEnd"/>
            <w:r w:rsidRPr="00E418C3">
              <w:rPr>
                <w:b/>
                <w:szCs w:val="20"/>
                <w:lang w:eastAsia="en-GB"/>
              </w:rPr>
              <w:t xml:space="preserve"> Measured</w:t>
            </w:r>
          </w:p>
        </w:tc>
        <w:tc>
          <w:tcPr>
            <w:tcW w:w="810" w:type="dxa"/>
            <w:tcBorders>
              <w:top w:val="single" w:sz="8" w:space="0" w:color="auto"/>
              <w:bottom w:val="single" w:sz="4" w:space="0" w:color="auto"/>
            </w:tcBorders>
            <w:vAlign w:val="center"/>
          </w:tcPr>
          <w:p w:rsidR="00677871" w:rsidRPr="00E418C3" w:rsidRDefault="00677871" w:rsidP="00180040">
            <w:pPr>
              <w:pStyle w:val="BodyTextIndent"/>
              <w:spacing w:beforeLines="60"/>
              <w:ind w:firstLine="0"/>
              <w:jc w:val="center"/>
              <w:rPr>
                <w:b/>
              </w:rPr>
            </w:pPr>
            <w:r w:rsidRPr="00E418C3">
              <w:rPr>
                <w:b/>
                <w:lang w:eastAsia="en-GB"/>
              </w:rPr>
              <w:t>Beam Contr</w:t>
            </w:r>
            <w:r>
              <w:rPr>
                <w:b/>
                <w:lang w:eastAsia="en-GB"/>
              </w:rPr>
              <w:t>.</w:t>
            </w:r>
          </w:p>
        </w:tc>
        <w:tc>
          <w:tcPr>
            <w:tcW w:w="990" w:type="dxa"/>
            <w:tcBorders>
              <w:top w:val="single" w:sz="8" w:space="0" w:color="auto"/>
              <w:bottom w:val="single" w:sz="4" w:space="0" w:color="auto"/>
            </w:tcBorders>
          </w:tcPr>
          <w:p w:rsidR="00677871" w:rsidRPr="00E418C3" w:rsidRDefault="00677871" w:rsidP="00180040">
            <w:pPr>
              <w:pStyle w:val="BodyTextIndent"/>
              <w:spacing w:beforeLines="60"/>
              <w:ind w:firstLine="0"/>
              <w:jc w:val="center"/>
              <w:rPr>
                <w:b/>
                <w:lang w:eastAsia="en-GB"/>
              </w:rPr>
            </w:pPr>
            <w:r>
              <w:rPr>
                <w:b/>
                <w:lang w:eastAsia="en-GB"/>
              </w:rPr>
              <w:t>#</w:t>
            </w:r>
            <w:proofErr w:type="spellStart"/>
            <w:r w:rsidRPr="00E418C3">
              <w:rPr>
                <w:b/>
                <w:lang w:eastAsia="en-GB"/>
              </w:rPr>
              <w:t>SEUs</w:t>
            </w:r>
            <w:proofErr w:type="spellEnd"/>
            <w:r w:rsidRPr="00E418C3">
              <w:rPr>
                <w:b/>
                <w:lang w:eastAsia="en-GB"/>
              </w:rPr>
              <w:t xml:space="preserve"> FLUKA</w:t>
            </w:r>
          </w:p>
        </w:tc>
        <w:tc>
          <w:tcPr>
            <w:tcW w:w="823" w:type="dxa"/>
            <w:tcBorders>
              <w:top w:val="single" w:sz="8" w:space="0" w:color="auto"/>
              <w:bottom w:val="single" w:sz="4" w:space="0" w:color="auto"/>
            </w:tcBorders>
            <w:vAlign w:val="center"/>
          </w:tcPr>
          <w:p w:rsidR="00677871" w:rsidRPr="00E418C3" w:rsidRDefault="00677871" w:rsidP="00180040">
            <w:pPr>
              <w:pStyle w:val="BodyTextIndent"/>
              <w:spacing w:beforeLines="60"/>
              <w:ind w:firstLine="0"/>
              <w:jc w:val="center"/>
              <w:rPr>
                <w:b/>
              </w:rPr>
            </w:pPr>
            <w:r w:rsidRPr="00E418C3">
              <w:rPr>
                <w:b/>
                <w:lang w:eastAsia="en-GB"/>
              </w:rPr>
              <w:t>Ratio (M/F)</w:t>
            </w:r>
          </w:p>
        </w:tc>
      </w:tr>
      <w:tr w:rsidR="00677871" w:rsidRPr="00B24F44" w:rsidTr="007669DD">
        <w:tc>
          <w:tcPr>
            <w:tcW w:w="996"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LM03</w:t>
            </w:r>
            <w:r w:rsidRPr="00E54B0C">
              <w:rPr>
                <w:rFonts w:ascii="Calibri" w:hAnsi="Calibri" w:cs="Calibri"/>
                <w:b/>
                <w:color w:val="000000"/>
                <w:kern w:val="24"/>
                <w:sz w:val="20"/>
                <w:szCs w:val="20"/>
              </w:rPr>
              <w:t>S</w:t>
            </w:r>
          </w:p>
        </w:tc>
        <w:tc>
          <w:tcPr>
            <w:tcW w:w="108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14401</w:t>
            </w:r>
          </w:p>
        </w:tc>
        <w:tc>
          <w:tcPr>
            <w:tcW w:w="81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B1</w:t>
            </w:r>
          </w:p>
        </w:tc>
        <w:tc>
          <w:tcPr>
            <w:tcW w:w="99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15015</w:t>
            </w:r>
          </w:p>
        </w:tc>
        <w:tc>
          <w:tcPr>
            <w:tcW w:w="823"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1.04</w:t>
            </w:r>
          </w:p>
        </w:tc>
      </w:tr>
      <w:tr w:rsidR="00677871" w:rsidRPr="00B24F44" w:rsidTr="007669DD">
        <w:tc>
          <w:tcPr>
            <w:tcW w:w="996"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LM02</w:t>
            </w:r>
            <w:r w:rsidRPr="00E54B0C">
              <w:rPr>
                <w:rFonts w:ascii="Calibri" w:hAnsi="Calibri" w:cs="Calibri"/>
                <w:b/>
                <w:color w:val="000000"/>
                <w:kern w:val="24"/>
                <w:sz w:val="20"/>
                <w:szCs w:val="20"/>
              </w:rPr>
              <w:t>S</w:t>
            </w:r>
          </w:p>
        </w:tc>
        <w:tc>
          <w:tcPr>
            <w:tcW w:w="108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5253</w:t>
            </w:r>
          </w:p>
        </w:tc>
        <w:tc>
          <w:tcPr>
            <w:tcW w:w="81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B1</w:t>
            </w:r>
          </w:p>
        </w:tc>
        <w:tc>
          <w:tcPr>
            <w:tcW w:w="99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9765</w:t>
            </w:r>
          </w:p>
        </w:tc>
        <w:tc>
          <w:tcPr>
            <w:tcW w:w="823"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1.86</w:t>
            </w:r>
          </w:p>
        </w:tc>
      </w:tr>
      <w:tr w:rsidR="00677871" w:rsidRPr="00B24F44" w:rsidTr="007669DD">
        <w:tc>
          <w:tcPr>
            <w:tcW w:w="996"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LM01</w:t>
            </w:r>
            <w:r w:rsidRPr="00E54B0C">
              <w:rPr>
                <w:rFonts w:ascii="Calibri" w:hAnsi="Calibri" w:cs="Calibri"/>
                <w:b/>
                <w:color w:val="000000"/>
                <w:kern w:val="24"/>
                <w:sz w:val="20"/>
                <w:szCs w:val="20"/>
              </w:rPr>
              <w:t>S</w:t>
            </w:r>
          </w:p>
        </w:tc>
        <w:tc>
          <w:tcPr>
            <w:tcW w:w="108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2689</w:t>
            </w:r>
          </w:p>
        </w:tc>
        <w:tc>
          <w:tcPr>
            <w:tcW w:w="81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B1+B2</w:t>
            </w:r>
          </w:p>
        </w:tc>
        <w:tc>
          <w:tcPr>
            <w:tcW w:w="99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3116</w:t>
            </w:r>
          </w:p>
        </w:tc>
        <w:tc>
          <w:tcPr>
            <w:tcW w:w="823"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1.16</w:t>
            </w:r>
          </w:p>
        </w:tc>
      </w:tr>
      <w:tr w:rsidR="00677871" w:rsidRPr="00B24F44" w:rsidTr="007669DD">
        <w:tc>
          <w:tcPr>
            <w:tcW w:w="996"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RM03</w:t>
            </w:r>
            <w:r w:rsidRPr="00E54B0C">
              <w:rPr>
                <w:rFonts w:ascii="Calibri" w:hAnsi="Calibri" w:cs="Calibri"/>
                <w:b/>
                <w:color w:val="000000"/>
                <w:kern w:val="24"/>
                <w:sz w:val="20"/>
                <w:szCs w:val="20"/>
              </w:rPr>
              <w:t>S</w:t>
            </w:r>
          </w:p>
        </w:tc>
        <w:tc>
          <w:tcPr>
            <w:tcW w:w="108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950</w:t>
            </w:r>
          </w:p>
        </w:tc>
        <w:tc>
          <w:tcPr>
            <w:tcW w:w="81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B1+B2</w:t>
            </w:r>
          </w:p>
        </w:tc>
        <w:tc>
          <w:tcPr>
            <w:tcW w:w="99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401</w:t>
            </w:r>
          </w:p>
        </w:tc>
        <w:tc>
          <w:tcPr>
            <w:tcW w:w="823"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0.42</w:t>
            </w:r>
          </w:p>
        </w:tc>
      </w:tr>
      <w:tr w:rsidR="00677871" w:rsidRPr="00B24F44" w:rsidTr="007669DD">
        <w:tc>
          <w:tcPr>
            <w:tcW w:w="996"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RM04</w:t>
            </w:r>
            <w:r w:rsidRPr="00E54B0C">
              <w:rPr>
                <w:rFonts w:ascii="Calibri" w:hAnsi="Calibri" w:cs="Calibri"/>
                <w:b/>
                <w:color w:val="000000"/>
                <w:kern w:val="24"/>
                <w:sz w:val="20"/>
                <w:szCs w:val="20"/>
              </w:rPr>
              <w:t>S</w:t>
            </w:r>
          </w:p>
        </w:tc>
        <w:tc>
          <w:tcPr>
            <w:tcW w:w="108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18727</w:t>
            </w:r>
          </w:p>
        </w:tc>
        <w:tc>
          <w:tcPr>
            <w:tcW w:w="81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B2</w:t>
            </w:r>
          </w:p>
        </w:tc>
        <w:tc>
          <w:tcPr>
            <w:tcW w:w="99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13032</w:t>
            </w:r>
          </w:p>
        </w:tc>
        <w:tc>
          <w:tcPr>
            <w:tcW w:w="823"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0.70</w:t>
            </w:r>
          </w:p>
        </w:tc>
      </w:tr>
      <w:tr w:rsidR="00677871" w:rsidRPr="00B24F44" w:rsidTr="007669DD">
        <w:tc>
          <w:tcPr>
            <w:tcW w:w="996"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RM05</w:t>
            </w:r>
            <w:r w:rsidRPr="00E54B0C">
              <w:rPr>
                <w:rFonts w:ascii="Calibri" w:hAnsi="Calibri" w:cs="Calibri"/>
                <w:b/>
                <w:color w:val="000000"/>
                <w:kern w:val="24"/>
                <w:sz w:val="20"/>
                <w:szCs w:val="20"/>
              </w:rPr>
              <w:t>S</w:t>
            </w:r>
          </w:p>
        </w:tc>
        <w:tc>
          <w:tcPr>
            <w:tcW w:w="108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303</w:t>
            </w:r>
          </w:p>
        </w:tc>
        <w:tc>
          <w:tcPr>
            <w:tcW w:w="81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B2</w:t>
            </w:r>
          </w:p>
        </w:tc>
        <w:tc>
          <w:tcPr>
            <w:tcW w:w="990"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color w:val="000000"/>
                <w:kern w:val="24"/>
                <w:sz w:val="20"/>
                <w:szCs w:val="20"/>
              </w:rPr>
              <w:t>962</w:t>
            </w:r>
          </w:p>
        </w:tc>
        <w:tc>
          <w:tcPr>
            <w:tcW w:w="823" w:type="dxa"/>
            <w:tcBorders>
              <w:top w:val="single" w:sz="4" w:space="0" w:color="auto"/>
              <w:bottom w:val="single" w:sz="4" w:space="0" w:color="auto"/>
            </w:tcBorders>
            <w:vAlign w:val="bottom"/>
          </w:tcPr>
          <w:p w:rsidR="00677871" w:rsidRPr="00E54B0C" w:rsidRDefault="00677871" w:rsidP="007669DD">
            <w:pPr>
              <w:pStyle w:val="NormalWeb"/>
              <w:spacing w:before="0" w:beforeAutospacing="0" w:after="0" w:afterAutospacing="0" w:line="300" w:lineRule="atLeast"/>
              <w:jc w:val="center"/>
              <w:textAlignment w:val="bottom"/>
              <w:rPr>
                <w:rFonts w:ascii="Arial" w:hAnsi="Arial" w:cs="Arial"/>
                <w:sz w:val="20"/>
                <w:szCs w:val="20"/>
              </w:rPr>
            </w:pPr>
            <w:r w:rsidRPr="00E54B0C">
              <w:rPr>
                <w:rFonts w:ascii="Calibri" w:hAnsi="Calibri" w:cs="Calibri"/>
                <w:bCs/>
                <w:color w:val="000000"/>
                <w:kern w:val="24"/>
                <w:sz w:val="20"/>
                <w:szCs w:val="20"/>
              </w:rPr>
              <w:t>3.17</w:t>
            </w:r>
          </w:p>
        </w:tc>
      </w:tr>
      <w:tr w:rsidR="00677871" w:rsidRPr="00B24F44" w:rsidTr="007669DD">
        <w:trPr>
          <w:trHeight w:val="268"/>
        </w:trPr>
        <w:tc>
          <w:tcPr>
            <w:tcW w:w="996"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15" w:lineRule="atLeast"/>
              <w:textAlignment w:val="bottom"/>
              <w:rPr>
                <w:rFonts w:ascii="Arial" w:hAnsi="Arial" w:cs="Arial"/>
                <w:b/>
                <w:sz w:val="20"/>
                <w:szCs w:val="20"/>
              </w:rPr>
            </w:pPr>
            <w:r w:rsidRPr="00E54B0C">
              <w:rPr>
                <w:rFonts w:ascii="Calibri" w:hAnsi="Calibri" w:cs="Calibri"/>
                <w:b/>
                <w:color w:val="000000"/>
                <w:kern w:val="24"/>
                <w:sz w:val="20"/>
                <w:szCs w:val="20"/>
              </w:rPr>
              <w:t>7</w:t>
            </w:r>
            <w:r w:rsidRPr="00E54B0C">
              <w:rPr>
                <w:rFonts w:ascii="Calibri" w:hAnsi="Calibri" w:cs="Calibri"/>
                <w:b/>
                <w:bCs/>
                <w:color w:val="000000"/>
                <w:kern w:val="24"/>
                <w:sz w:val="20"/>
                <w:szCs w:val="20"/>
              </w:rPr>
              <w:t>RM06</w:t>
            </w:r>
            <w:r w:rsidRPr="00E54B0C">
              <w:rPr>
                <w:rFonts w:ascii="Calibri" w:hAnsi="Calibri" w:cs="Calibri"/>
                <w:b/>
                <w:color w:val="000000"/>
                <w:kern w:val="24"/>
                <w:sz w:val="20"/>
                <w:szCs w:val="20"/>
              </w:rPr>
              <w:t>S</w:t>
            </w:r>
          </w:p>
        </w:tc>
        <w:tc>
          <w:tcPr>
            <w:tcW w:w="108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15" w:lineRule="atLeast"/>
              <w:jc w:val="center"/>
              <w:textAlignment w:val="bottom"/>
              <w:rPr>
                <w:rFonts w:ascii="Arial" w:hAnsi="Arial" w:cs="Arial"/>
                <w:sz w:val="20"/>
                <w:szCs w:val="20"/>
              </w:rPr>
            </w:pPr>
            <w:r w:rsidRPr="00E54B0C">
              <w:rPr>
                <w:rFonts w:ascii="Calibri" w:hAnsi="Calibri" w:cs="Calibri"/>
                <w:color w:val="000000"/>
                <w:kern w:val="24"/>
                <w:sz w:val="20"/>
                <w:szCs w:val="20"/>
              </w:rPr>
              <w:t>13</w:t>
            </w:r>
          </w:p>
        </w:tc>
        <w:tc>
          <w:tcPr>
            <w:tcW w:w="81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15" w:lineRule="atLeast"/>
              <w:jc w:val="center"/>
              <w:textAlignment w:val="bottom"/>
              <w:rPr>
                <w:rFonts w:ascii="Arial" w:hAnsi="Arial" w:cs="Arial"/>
                <w:sz w:val="20"/>
                <w:szCs w:val="20"/>
              </w:rPr>
            </w:pPr>
            <w:r w:rsidRPr="00E54B0C">
              <w:rPr>
                <w:rFonts w:ascii="Calibri" w:hAnsi="Calibri" w:cs="Calibri"/>
                <w:bCs/>
                <w:color w:val="000000"/>
                <w:kern w:val="24"/>
                <w:sz w:val="20"/>
                <w:szCs w:val="20"/>
              </w:rPr>
              <w:t>B1+B2</w:t>
            </w:r>
          </w:p>
        </w:tc>
        <w:tc>
          <w:tcPr>
            <w:tcW w:w="990"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15" w:lineRule="atLeast"/>
              <w:jc w:val="center"/>
              <w:textAlignment w:val="bottom"/>
              <w:rPr>
                <w:rFonts w:ascii="Arial" w:hAnsi="Arial" w:cs="Arial"/>
                <w:sz w:val="20"/>
                <w:szCs w:val="20"/>
              </w:rPr>
            </w:pPr>
            <w:r w:rsidRPr="00E54B0C">
              <w:rPr>
                <w:rFonts w:ascii="Calibri" w:hAnsi="Calibri" w:cs="Calibri"/>
                <w:color w:val="000000"/>
                <w:kern w:val="24"/>
                <w:sz w:val="20"/>
                <w:szCs w:val="20"/>
              </w:rPr>
              <w:t>17</w:t>
            </w:r>
          </w:p>
        </w:tc>
        <w:tc>
          <w:tcPr>
            <w:tcW w:w="823" w:type="dxa"/>
            <w:tcBorders>
              <w:top w:val="single" w:sz="4" w:space="0" w:color="auto"/>
              <w:bottom w:val="single" w:sz="8" w:space="0" w:color="auto"/>
            </w:tcBorders>
            <w:vAlign w:val="bottom"/>
          </w:tcPr>
          <w:p w:rsidR="00677871" w:rsidRPr="00E54B0C" w:rsidRDefault="00677871" w:rsidP="007669DD">
            <w:pPr>
              <w:pStyle w:val="NormalWeb"/>
              <w:spacing w:before="0" w:beforeAutospacing="0" w:after="0" w:afterAutospacing="0" w:line="315" w:lineRule="atLeast"/>
              <w:jc w:val="center"/>
              <w:textAlignment w:val="bottom"/>
              <w:rPr>
                <w:rFonts w:ascii="Arial" w:hAnsi="Arial" w:cs="Arial"/>
                <w:sz w:val="20"/>
                <w:szCs w:val="20"/>
              </w:rPr>
            </w:pPr>
            <w:r w:rsidRPr="00E54B0C">
              <w:rPr>
                <w:rFonts w:ascii="Calibri" w:hAnsi="Calibri" w:cs="Calibri"/>
                <w:bCs/>
                <w:color w:val="000000"/>
                <w:kern w:val="24"/>
                <w:sz w:val="20"/>
                <w:szCs w:val="20"/>
              </w:rPr>
              <w:t>1.33</w:t>
            </w:r>
          </w:p>
        </w:tc>
      </w:tr>
    </w:tbl>
    <w:p w:rsidR="00677871" w:rsidRDefault="00677871" w:rsidP="00677871">
      <w:pPr>
        <w:pStyle w:val="BodyTextIndent"/>
        <w:ind w:firstLine="0"/>
        <w:rPr>
          <w:kern w:val="16"/>
        </w:rPr>
      </w:pPr>
    </w:p>
    <w:p w:rsidR="007F3245" w:rsidRDefault="002260F1" w:rsidP="007F3245">
      <w:pPr>
        <w:pStyle w:val="Heading2"/>
        <w:spacing w:before="180"/>
      </w:pPr>
      <w:r>
        <w:t>Rad</w:t>
      </w:r>
      <w:r w:rsidR="004755B9">
        <w:t>I</w:t>
      </w:r>
      <w:r w:rsidR="007F3245">
        <w:t>ation levels around the LHC</w:t>
      </w:r>
    </w:p>
    <w:p w:rsidR="007F3245" w:rsidRDefault="00AB6B8E" w:rsidP="007F3245">
      <w:pPr>
        <w:pStyle w:val="BodyTextIndent"/>
        <w:rPr>
          <w:kern w:val="16"/>
        </w:rPr>
      </w:pPr>
      <w:r>
        <w:rPr>
          <w:kern w:val="16"/>
        </w:rPr>
        <w:t>Based on the multitude of successful benchmark and ‘application benchmark’ measurements (a few</w:t>
      </w:r>
      <w:r w:rsidR="007F3245">
        <w:rPr>
          <w:kern w:val="16"/>
        </w:rPr>
        <w:t xml:space="preserve"> </w:t>
      </w:r>
      <w:r>
        <w:rPr>
          <w:kern w:val="16"/>
        </w:rPr>
        <w:t>of them briefly described in the previous chapter), it can be concluded that depending on the complexity and reproducibility of particle losses around the LHC, respective radiation levels can be very well predicted with the FLUKA Monte-Carlo code. In the following, we thus review the predictions of radiation levels for 2010 LHC operation, compare them to the predicted radiation levels and provide an outlook to the coming years of operation as well as nominal and ultimate LHC conditions.</w:t>
      </w:r>
    </w:p>
    <w:p w:rsidR="002260F1" w:rsidRDefault="002260F1" w:rsidP="002260F1">
      <w:pPr>
        <w:pStyle w:val="Heading3"/>
        <w:rPr>
          <w:kern w:val="16"/>
        </w:rPr>
      </w:pPr>
      <w:r>
        <w:rPr>
          <w:kern w:val="16"/>
        </w:rPr>
        <w:t>2010 Operation</w:t>
      </w:r>
    </w:p>
    <w:p w:rsidR="002260F1" w:rsidRDefault="002260F1" w:rsidP="002260F1">
      <w:pPr>
        <w:pStyle w:val="BodyTextIndent"/>
        <w:rPr>
          <w:kern w:val="16"/>
        </w:rPr>
      </w:pPr>
      <w:r>
        <w:rPr>
          <w:kern w:val="16"/>
        </w:rPr>
        <w:t>I</w:t>
      </w:r>
      <w:r w:rsidR="00E54B0C">
        <w:rPr>
          <w:kern w:val="16"/>
        </w:rPr>
        <w:t>n order to provide an evaluation of the radiation levels as observed during 2010 LHC operation, all details like particle losses and distributions</w:t>
      </w:r>
      <w:r w:rsidR="00E54B0C" w:rsidRPr="00E54B0C">
        <w:rPr>
          <w:kern w:val="16"/>
        </w:rPr>
        <w:t xml:space="preserve">, operational conditions as well as monitor </w:t>
      </w:r>
      <w:r w:rsidR="00E54B0C">
        <w:rPr>
          <w:kern w:val="16"/>
        </w:rPr>
        <w:t xml:space="preserve">calibrations were </w:t>
      </w:r>
      <w:r w:rsidR="00E54B0C" w:rsidRPr="00E54B0C">
        <w:rPr>
          <w:kern w:val="16"/>
        </w:rPr>
        <w:t xml:space="preserve">carefully </w:t>
      </w:r>
      <w:r w:rsidR="00301E7E">
        <w:rPr>
          <w:kern w:val="16"/>
        </w:rPr>
        <w:t>included in the calculation analysis</w:t>
      </w:r>
      <w:r w:rsidR="00E54B0C">
        <w:rPr>
          <w:kern w:val="16"/>
        </w:rPr>
        <w:t xml:space="preserve"> and the following steps have been taken in order to obtain both, measured radiation levels around LHC critical areas, as well as correctly updated FLUKA results to be compared with:</w:t>
      </w:r>
    </w:p>
    <w:p w:rsidR="00E54B0C" w:rsidRDefault="00E54B0C" w:rsidP="00E54B0C">
      <w:pPr>
        <w:pStyle w:val="BodyTextIndent"/>
        <w:numPr>
          <w:ilvl w:val="0"/>
          <w:numId w:val="23"/>
        </w:numPr>
        <w:rPr>
          <w:kern w:val="16"/>
        </w:rPr>
      </w:pPr>
      <w:r>
        <w:rPr>
          <w:kern w:val="16"/>
        </w:rPr>
        <w:t>FLUKA predictions as based on the various source terms (</w:t>
      </w:r>
      <w:r w:rsidR="00301E7E">
        <w:rPr>
          <w:i/>
          <w:kern w:val="16"/>
        </w:rPr>
        <w:t>e.g.</w:t>
      </w:r>
      <w:r>
        <w:rPr>
          <w:kern w:val="16"/>
        </w:rPr>
        <w:t xml:space="preserve"> </w:t>
      </w:r>
      <w:r w:rsidR="00E90B0D">
        <w:rPr>
          <w:kern w:val="16"/>
        </w:rPr>
        <w:t>collisions</w:t>
      </w:r>
      <w:r>
        <w:rPr>
          <w:kern w:val="16"/>
        </w:rPr>
        <w:t xml:space="preserve"> at the experiments, loss distribution in collimators, etc.) were rescaled to the actual operational conditions during 2010 (</w:t>
      </w:r>
      <w:r w:rsidR="00301E7E" w:rsidRPr="00E90B0D">
        <w:rPr>
          <w:i/>
          <w:kern w:val="16"/>
        </w:rPr>
        <w:t>e.g.</w:t>
      </w:r>
      <w:r>
        <w:rPr>
          <w:kern w:val="16"/>
        </w:rPr>
        <w:t xml:space="preserve"> number of protons in the machine, accumulated luminosity for each experiment, etc.)</w:t>
      </w:r>
    </w:p>
    <w:p w:rsidR="00E54B0C" w:rsidRDefault="00E54B0C" w:rsidP="00E54B0C">
      <w:pPr>
        <w:pStyle w:val="BodyTextIndent"/>
        <w:numPr>
          <w:ilvl w:val="0"/>
          <w:numId w:val="23"/>
        </w:numPr>
        <w:rPr>
          <w:kern w:val="16"/>
        </w:rPr>
      </w:pPr>
      <w:r>
        <w:rPr>
          <w:kern w:val="16"/>
        </w:rPr>
        <w:t>RadMon monitor readings were converted into high-energy hadron fluence (&gt;20MeV) applying updated calibration factors (this is particularly important for areas where the RadMons were operated at 3V, thus have a significant sensitivity on thermal neutrons</w:t>
      </w:r>
    </w:p>
    <w:p w:rsidR="00301E7E" w:rsidRDefault="00E54B0C" w:rsidP="00301E7E">
      <w:pPr>
        <w:pStyle w:val="BodyTextIndent"/>
        <w:numPr>
          <w:ilvl w:val="0"/>
          <w:numId w:val="23"/>
        </w:numPr>
        <w:rPr>
          <w:kern w:val="16"/>
        </w:rPr>
      </w:pPr>
      <w:r>
        <w:rPr>
          <w:kern w:val="16"/>
        </w:rPr>
        <w:t>To determine the thermal neutron contribution at the various measurement locations, either dedicated RadM</w:t>
      </w:r>
      <w:r w:rsidR="00C8261E">
        <w:rPr>
          <w:kern w:val="16"/>
        </w:rPr>
        <w:t>on measurements at two voltages</w:t>
      </w:r>
      <w:r>
        <w:rPr>
          <w:kern w:val="16"/>
        </w:rPr>
        <w:t xml:space="preserve"> were used</w:t>
      </w:r>
      <w:r w:rsidR="00C8261E">
        <w:rPr>
          <w:kern w:val="16"/>
        </w:rPr>
        <w:t xml:space="preserve"> (see measurement procedure as described in [14])</w:t>
      </w:r>
      <w:r>
        <w:rPr>
          <w:kern w:val="16"/>
        </w:rPr>
        <w:t>, or the results of dedicated TLD samples were applied (</w:t>
      </w:r>
      <w:r w:rsidR="00301E7E">
        <w:rPr>
          <w:kern w:val="16"/>
        </w:rPr>
        <w:t>TLDs are thermo-</w:t>
      </w:r>
      <w:r w:rsidR="00301E7E">
        <w:rPr>
          <w:kern w:val="16"/>
        </w:rPr>
        <w:lastRenderedPageBreak/>
        <w:t xml:space="preserve">luminescence detectors allowing through the use of </w:t>
      </w:r>
      <w:r w:rsidR="00301E7E" w:rsidRPr="00301E7E">
        <w:rPr>
          <w:kern w:val="16"/>
          <w:vertAlign w:val="superscript"/>
        </w:rPr>
        <w:t>6</w:t>
      </w:r>
      <w:r w:rsidR="00301E7E">
        <w:rPr>
          <w:kern w:val="16"/>
        </w:rPr>
        <w:t xml:space="preserve">Li and </w:t>
      </w:r>
      <w:r w:rsidR="00301E7E" w:rsidRPr="00301E7E">
        <w:rPr>
          <w:kern w:val="16"/>
          <w:vertAlign w:val="superscript"/>
        </w:rPr>
        <w:t>7</w:t>
      </w:r>
      <w:r w:rsidR="00301E7E">
        <w:rPr>
          <w:kern w:val="16"/>
        </w:rPr>
        <w:t>Li to determine the dose contribution from thermal neutrons; they were further calibrated at CERF in order to improve their absolute response to mixed-radiation fields, thus allowing to determine the total thermal neutron fluence as compared to the high-energy hadron fluence (&gt;20MeV).</w:t>
      </w:r>
    </w:p>
    <w:p w:rsidR="00683CC6" w:rsidRDefault="00683CC6" w:rsidP="00683CC6">
      <w:pPr>
        <w:pStyle w:val="BodyTextIndent"/>
        <w:rPr>
          <w:kern w:val="16"/>
        </w:rPr>
      </w:pPr>
    </w:p>
    <w:p w:rsidR="00683CC6" w:rsidRDefault="006A2189" w:rsidP="00683CC6">
      <w:pPr>
        <w:pStyle w:val="BodyTextIndent"/>
        <w:rPr>
          <w:kern w:val="16"/>
        </w:rPr>
      </w:pPr>
      <w:r>
        <w:rPr>
          <w:kern w:val="16"/>
        </w:rPr>
        <w:t xml:space="preserve">Applying the above procedure </w:t>
      </w:r>
      <w:r w:rsidR="00D673AF">
        <w:rPr>
          <w:kern w:val="16"/>
        </w:rPr>
        <w:t>to</w:t>
      </w:r>
      <w:r>
        <w:rPr>
          <w:kern w:val="16"/>
        </w:rPr>
        <w:t xml:space="preserve"> all critical areas where RadMon detectors showed a signal (at least a few counts over the LHC operation period</w:t>
      </w:r>
      <w:r w:rsidR="00D673AF">
        <w:rPr>
          <w:kern w:val="16"/>
        </w:rPr>
        <w:t xml:space="preserve"> in order to provide minimal statistics</w:t>
      </w:r>
      <w:r>
        <w:rPr>
          <w:kern w:val="16"/>
        </w:rPr>
        <w:t>), Table 8 compares the measured radiation levels to the predicted ones.</w:t>
      </w:r>
    </w:p>
    <w:p w:rsidR="006A2189" w:rsidRDefault="006A2189" w:rsidP="00683CC6">
      <w:pPr>
        <w:pStyle w:val="BodyTextIndent"/>
        <w:rPr>
          <w:kern w:val="16"/>
        </w:rPr>
      </w:pPr>
    </w:p>
    <w:p w:rsidR="006A2189" w:rsidRPr="008F0ED6" w:rsidRDefault="006A2189" w:rsidP="00180040">
      <w:pPr>
        <w:pStyle w:val="TableCaption0"/>
        <w:jc w:val="both"/>
        <w:rPr>
          <w:kern w:val="16"/>
        </w:rPr>
      </w:pPr>
      <w:r>
        <w:rPr>
          <w:kern w:val="16"/>
        </w:rPr>
        <w:t xml:space="preserve">Table 8: </w:t>
      </w:r>
      <w:r w:rsidR="00D673AF">
        <w:rPr>
          <w:kern w:val="16"/>
        </w:rPr>
        <w:t>Radiation levels (high-energy hadron fluence above 20MeV) as predicted by FLUKA and measured at the end of 2010 LHC operation</w:t>
      </w:r>
      <w:r>
        <w:rPr>
          <w:kern w:val="16"/>
        </w:rPr>
        <w:t>.</w:t>
      </w:r>
    </w:p>
    <w:tbl>
      <w:tblPr>
        <w:tblStyle w:val="TableSimple1"/>
        <w:tblW w:w="0" w:type="auto"/>
        <w:tblInd w:w="192" w:type="dxa"/>
        <w:tblLayout w:type="fixed"/>
        <w:tblLook w:val="00A0"/>
      </w:tblPr>
      <w:tblGrid>
        <w:gridCol w:w="996"/>
        <w:gridCol w:w="1260"/>
        <w:gridCol w:w="1170"/>
        <w:gridCol w:w="1170"/>
      </w:tblGrid>
      <w:tr w:rsidR="006A2189" w:rsidRPr="00A65CFF" w:rsidTr="006A2189">
        <w:trPr>
          <w:cnfStyle w:val="100000000000"/>
          <w:trHeight w:val="180"/>
        </w:trPr>
        <w:tc>
          <w:tcPr>
            <w:tcW w:w="996" w:type="dxa"/>
            <w:tcBorders>
              <w:top w:val="single" w:sz="8" w:space="0" w:color="auto"/>
              <w:bottom w:val="single" w:sz="4" w:space="0" w:color="auto"/>
            </w:tcBorders>
            <w:vAlign w:val="center"/>
          </w:tcPr>
          <w:p w:rsidR="006A2189" w:rsidRPr="00A65CFF" w:rsidRDefault="006A2189" w:rsidP="00180040">
            <w:pPr>
              <w:pStyle w:val="BodyText"/>
              <w:spacing w:beforeLines="60" w:line="220" w:lineRule="exact"/>
              <w:jc w:val="center"/>
              <w:rPr>
                <w:rFonts w:ascii="Times New Roman" w:eastAsia="MS Mincho" w:hAnsi="Times New Roman"/>
                <w:b/>
                <w:bCs/>
                <w:szCs w:val="20"/>
                <w:lang w:eastAsia="ja-JP"/>
              </w:rPr>
            </w:pPr>
            <w:r w:rsidRPr="00A65CFF">
              <w:rPr>
                <w:rFonts w:ascii="Times New Roman" w:hAnsi="Times New Roman"/>
                <w:b/>
                <w:szCs w:val="20"/>
              </w:rPr>
              <w:t>Critical Area</w:t>
            </w:r>
          </w:p>
        </w:tc>
        <w:tc>
          <w:tcPr>
            <w:tcW w:w="1260" w:type="dxa"/>
            <w:tcBorders>
              <w:top w:val="single" w:sz="8" w:space="0" w:color="auto"/>
              <w:bottom w:val="single" w:sz="4" w:space="0" w:color="auto"/>
            </w:tcBorders>
            <w:vAlign w:val="center"/>
          </w:tcPr>
          <w:p w:rsidR="006A2189" w:rsidRPr="00A65CFF" w:rsidRDefault="006A2189" w:rsidP="00180040">
            <w:pPr>
              <w:spacing w:beforeLines="60"/>
              <w:jc w:val="center"/>
              <w:rPr>
                <w:rFonts w:ascii="Times New Roman" w:hAnsi="Times New Roman"/>
                <w:b/>
                <w:szCs w:val="20"/>
                <w:lang w:eastAsia="en-GB"/>
              </w:rPr>
            </w:pPr>
            <w:r w:rsidRPr="00A65CFF">
              <w:rPr>
                <w:rFonts w:ascii="Times New Roman" w:hAnsi="Times New Roman"/>
                <w:b/>
                <w:szCs w:val="20"/>
                <w:lang w:eastAsia="en-GB"/>
              </w:rPr>
              <w:t>Predicted Fluence [cm</w:t>
            </w:r>
            <w:r w:rsidRPr="00A65CFF">
              <w:rPr>
                <w:rFonts w:ascii="Times New Roman" w:hAnsi="Times New Roman"/>
                <w:b/>
                <w:szCs w:val="20"/>
                <w:vertAlign w:val="superscript"/>
                <w:lang w:eastAsia="en-GB"/>
              </w:rPr>
              <w:t>-2</w:t>
            </w:r>
            <w:r w:rsidRPr="00A65CFF">
              <w:rPr>
                <w:rFonts w:ascii="Times New Roman" w:hAnsi="Times New Roman"/>
                <w:b/>
                <w:szCs w:val="20"/>
                <w:lang w:eastAsia="en-GB"/>
              </w:rPr>
              <w:t>]</w:t>
            </w:r>
          </w:p>
        </w:tc>
        <w:tc>
          <w:tcPr>
            <w:tcW w:w="1170" w:type="dxa"/>
            <w:tcBorders>
              <w:top w:val="single" w:sz="8" w:space="0" w:color="auto"/>
              <w:bottom w:val="single" w:sz="4" w:space="0" w:color="auto"/>
            </w:tcBorders>
            <w:vAlign w:val="center"/>
          </w:tcPr>
          <w:p w:rsidR="006A2189" w:rsidRPr="00A65CFF" w:rsidRDefault="006A2189" w:rsidP="00180040">
            <w:pPr>
              <w:pStyle w:val="BodyTextIndent"/>
              <w:spacing w:beforeLines="60"/>
              <w:ind w:firstLine="0"/>
              <w:jc w:val="center"/>
              <w:rPr>
                <w:b/>
              </w:rPr>
            </w:pPr>
            <w:r w:rsidRPr="00A65CFF">
              <w:rPr>
                <w:b/>
                <w:lang w:eastAsia="en-GB"/>
              </w:rPr>
              <w:t>Measured Fluence [cm</w:t>
            </w:r>
            <w:r w:rsidRPr="00A65CFF">
              <w:rPr>
                <w:b/>
                <w:vertAlign w:val="superscript"/>
                <w:lang w:eastAsia="en-GB"/>
              </w:rPr>
              <w:t>-2</w:t>
            </w:r>
            <w:r w:rsidRPr="00A65CFF">
              <w:rPr>
                <w:b/>
                <w:lang w:eastAsia="en-GB"/>
              </w:rPr>
              <w:t>]</w:t>
            </w:r>
          </w:p>
        </w:tc>
        <w:tc>
          <w:tcPr>
            <w:tcW w:w="1170" w:type="dxa"/>
            <w:tcBorders>
              <w:top w:val="single" w:sz="8" w:space="0" w:color="auto"/>
              <w:bottom w:val="single" w:sz="4" w:space="0" w:color="auto"/>
            </w:tcBorders>
            <w:vAlign w:val="center"/>
          </w:tcPr>
          <w:p w:rsidR="006A2189" w:rsidRPr="00A65CFF" w:rsidRDefault="006A2189" w:rsidP="00180040">
            <w:pPr>
              <w:pStyle w:val="BodyTextIndent"/>
              <w:spacing w:beforeLines="60"/>
              <w:ind w:firstLine="0"/>
              <w:jc w:val="center"/>
              <w:rPr>
                <w:b/>
              </w:rPr>
            </w:pPr>
            <w:r w:rsidRPr="00A65CFF">
              <w:rPr>
                <w:b/>
                <w:lang w:eastAsia="en-GB"/>
              </w:rPr>
              <w:t>Ratio (M/</w:t>
            </w:r>
            <w:r w:rsidR="00DA4CBD">
              <w:rPr>
                <w:b/>
                <w:lang w:eastAsia="en-GB"/>
              </w:rPr>
              <w:t>P</w:t>
            </w:r>
            <w:r w:rsidRPr="00A65CFF">
              <w:rPr>
                <w:b/>
                <w:lang w:eastAsia="en-GB"/>
              </w:rPr>
              <w:t>)</w:t>
            </w:r>
          </w:p>
        </w:tc>
      </w:tr>
      <w:tr w:rsidR="00896B4A" w:rsidRPr="00A65CFF" w:rsidTr="006A2189">
        <w:tc>
          <w:tcPr>
            <w:tcW w:w="996"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UJ14/16</w:t>
            </w:r>
          </w:p>
        </w:tc>
        <w:tc>
          <w:tcPr>
            <w:tcW w:w="126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1.3E+06</w:t>
            </w:r>
          </w:p>
        </w:tc>
        <w:tc>
          <w:tcPr>
            <w:tcW w:w="117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1.1E+06</w:t>
            </w:r>
          </w:p>
        </w:tc>
        <w:tc>
          <w:tcPr>
            <w:tcW w:w="117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0.84</w:t>
            </w:r>
          </w:p>
        </w:tc>
      </w:tr>
      <w:tr w:rsidR="00896B4A" w:rsidRPr="00A65CFF" w:rsidTr="006A2189">
        <w:tc>
          <w:tcPr>
            <w:tcW w:w="996"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RR13/17</w:t>
            </w:r>
          </w:p>
        </w:tc>
        <w:tc>
          <w:tcPr>
            <w:tcW w:w="126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2.5E+05</w:t>
            </w:r>
          </w:p>
        </w:tc>
        <w:tc>
          <w:tcPr>
            <w:tcW w:w="117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6.2E+05</w:t>
            </w:r>
          </w:p>
        </w:tc>
        <w:tc>
          <w:tcPr>
            <w:tcW w:w="117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2.50</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UJ56</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1.3E+06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2.5E+05</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0.20</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RR53/57</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2.5E+05</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6.2E+05</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2.50</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UJ76</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1.2E+06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2.1E+06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1.86</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RR73/77</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5.7E+05</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3.1E+06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5.44</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UX85b</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1.3E+07</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1.0E+07</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0.82</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US85</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6.3E+06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2.9E+06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0.47</w:t>
            </w:r>
          </w:p>
        </w:tc>
      </w:tr>
      <w:tr w:rsidR="00896B4A" w:rsidRPr="00A65CFF" w:rsidTr="006A2189">
        <w:tc>
          <w:tcPr>
            <w:tcW w:w="996"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UJ23</w:t>
            </w:r>
          </w:p>
        </w:tc>
        <w:tc>
          <w:tcPr>
            <w:tcW w:w="126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5.6E+05</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3.9E+06</w:t>
            </w:r>
          </w:p>
        </w:tc>
        <w:tc>
          <w:tcPr>
            <w:tcW w:w="1170" w:type="dxa"/>
            <w:tcBorders>
              <w:top w:val="single" w:sz="4" w:space="0" w:color="auto"/>
              <w:bottom w:val="single" w:sz="4"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6.97</w:t>
            </w:r>
          </w:p>
        </w:tc>
      </w:tr>
      <w:tr w:rsidR="00896B4A" w:rsidRPr="00A65CFF" w:rsidTr="006A2189">
        <w:trPr>
          <w:trHeight w:val="268"/>
        </w:trPr>
        <w:tc>
          <w:tcPr>
            <w:tcW w:w="996"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UJ87</w:t>
            </w:r>
          </w:p>
        </w:tc>
        <w:tc>
          <w:tcPr>
            <w:tcW w:w="126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5.6E+05</w:t>
            </w:r>
          </w:p>
        </w:tc>
        <w:tc>
          <w:tcPr>
            <w:tcW w:w="117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2.0E+06</w:t>
            </w:r>
          </w:p>
        </w:tc>
        <w:tc>
          <w:tcPr>
            <w:tcW w:w="1170" w:type="dxa"/>
            <w:tcBorders>
              <w:top w:val="single" w:sz="4" w:space="0" w:color="auto"/>
              <w:bottom w:val="single" w:sz="8" w:space="0" w:color="auto"/>
            </w:tcBorders>
            <w:vAlign w:val="bottom"/>
          </w:tcPr>
          <w:p w:rsidR="00896B4A" w:rsidRPr="00A65CFF" w:rsidRDefault="00896B4A" w:rsidP="00896B4A">
            <w:pPr>
              <w:jc w:val="center"/>
              <w:rPr>
                <w:rFonts w:ascii="Times New Roman" w:hAnsi="Times New Roman"/>
                <w:color w:val="000000"/>
                <w:szCs w:val="20"/>
              </w:rPr>
            </w:pPr>
            <w:r w:rsidRPr="00A65CFF">
              <w:rPr>
                <w:rFonts w:ascii="Times New Roman" w:hAnsi="Times New Roman"/>
                <w:color w:val="000000"/>
                <w:szCs w:val="20"/>
              </w:rPr>
              <w:t>3.62</w:t>
            </w:r>
          </w:p>
        </w:tc>
      </w:tr>
    </w:tbl>
    <w:p w:rsidR="006A2189" w:rsidRDefault="006A2189" w:rsidP="00683CC6">
      <w:pPr>
        <w:pStyle w:val="BodyTextIndent"/>
        <w:rPr>
          <w:kern w:val="16"/>
        </w:rPr>
      </w:pPr>
    </w:p>
    <w:p w:rsidR="00D673AF" w:rsidRDefault="00D673AF" w:rsidP="00683CC6">
      <w:pPr>
        <w:pStyle w:val="BodyTextIndent"/>
        <w:rPr>
          <w:kern w:val="16"/>
        </w:rPr>
      </w:pPr>
      <w:r>
        <w:rPr>
          <w:kern w:val="16"/>
        </w:rPr>
        <w:t xml:space="preserve">A generally good agreement between the predictions and the actual measurements is obtained, especially when considering the </w:t>
      </w:r>
      <w:r w:rsidR="00C8261E">
        <w:rPr>
          <w:kern w:val="16"/>
        </w:rPr>
        <w:t xml:space="preserve">partly </w:t>
      </w:r>
      <w:r>
        <w:rPr>
          <w:kern w:val="16"/>
        </w:rPr>
        <w:t>low radiation levels (</w:t>
      </w:r>
      <w:r w:rsidR="00DA4CBD">
        <w:rPr>
          <w:kern w:val="16"/>
        </w:rPr>
        <w:t xml:space="preserve">leading to low statistics of the observed memory upsets in the </w:t>
      </w:r>
      <w:proofErr w:type="spellStart"/>
      <w:r w:rsidR="00DA4CBD">
        <w:rPr>
          <w:kern w:val="16"/>
        </w:rPr>
        <w:t>RadMon</w:t>
      </w:r>
      <w:proofErr w:type="spellEnd"/>
      <w:r w:rsidR="00DA4CBD">
        <w:rPr>
          <w:kern w:val="16"/>
        </w:rPr>
        <w:t xml:space="preserve"> where one can consider radiation levels of ~ 10</w:t>
      </w:r>
      <w:r w:rsidR="00DA4CBD" w:rsidRPr="00DA4CBD">
        <w:rPr>
          <w:kern w:val="16"/>
          <w:vertAlign w:val="superscript"/>
        </w:rPr>
        <w:t>7</w:t>
      </w:r>
      <w:r w:rsidR="00DA4CBD">
        <w:rPr>
          <w:kern w:val="16"/>
        </w:rPr>
        <w:t>cm-2 as ‘good statistics’</w:t>
      </w:r>
      <w:r>
        <w:rPr>
          <w:kern w:val="16"/>
        </w:rPr>
        <w:t>), the high dependency on LHC operation (</w:t>
      </w:r>
      <w:r w:rsidRPr="00D673AF">
        <w:rPr>
          <w:i/>
          <w:kern w:val="16"/>
        </w:rPr>
        <w:t>e.g.</w:t>
      </w:r>
      <w:r>
        <w:rPr>
          <w:kern w:val="16"/>
        </w:rPr>
        <w:t xml:space="preserve"> higher injection losses as can be seen for the UJ23/87) and the fact that partly strong radiation gradients exist.</w:t>
      </w:r>
    </w:p>
    <w:p w:rsidR="00D673AF" w:rsidRDefault="00D673AF" w:rsidP="00683CC6">
      <w:pPr>
        <w:pStyle w:val="BodyTextIndent"/>
        <w:rPr>
          <w:kern w:val="16"/>
        </w:rPr>
      </w:pPr>
    </w:p>
    <w:p w:rsidR="002260F1" w:rsidRDefault="002260F1" w:rsidP="002260F1">
      <w:pPr>
        <w:pStyle w:val="Heading3"/>
        <w:rPr>
          <w:kern w:val="16"/>
        </w:rPr>
      </w:pPr>
      <w:r>
        <w:rPr>
          <w:kern w:val="16"/>
        </w:rPr>
        <w:t>Prediction for 2011/2012 and Nominal Operation</w:t>
      </w:r>
    </w:p>
    <w:p w:rsidR="002260F1" w:rsidRDefault="00D673AF" w:rsidP="002260F1">
      <w:pPr>
        <w:pStyle w:val="BodyTextIndent"/>
        <w:rPr>
          <w:kern w:val="16"/>
        </w:rPr>
      </w:pPr>
      <w:r>
        <w:rPr>
          <w:kern w:val="16"/>
        </w:rPr>
        <w:t xml:space="preserve">Based on the before </w:t>
      </w:r>
      <w:r w:rsidR="00C8261E">
        <w:rPr>
          <w:kern w:val="16"/>
        </w:rPr>
        <w:t xml:space="preserve">described </w:t>
      </w:r>
      <w:r>
        <w:rPr>
          <w:kern w:val="16"/>
        </w:rPr>
        <w:t xml:space="preserve">FLUKA results we can then combine them with the predicted LHC operation </w:t>
      </w:r>
      <w:r w:rsidR="00C8261E">
        <w:rPr>
          <w:kern w:val="16"/>
        </w:rPr>
        <w:t xml:space="preserve">parameters </w:t>
      </w:r>
      <w:r>
        <w:rPr>
          <w:kern w:val="16"/>
        </w:rPr>
        <w:t>for 2011/2012 as well as nominal and ultimate conditions. Based on this, and again only for the selected critical areas (a full summary can be found on the R2E website [</w:t>
      </w:r>
      <w:r w:rsidR="00A65CFF">
        <w:rPr>
          <w:kern w:val="16"/>
        </w:rPr>
        <w:t>16</w:t>
      </w:r>
      <w:r>
        <w:rPr>
          <w:kern w:val="16"/>
        </w:rPr>
        <w:t xml:space="preserve">]) Table 9 provides </w:t>
      </w:r>
      <w:r w:rsidR="00C8261E">
        <w:rPr>
          <w:kern w:val="16"/>
        </w:rPr>
        <w:t xml:space="preserve">for the most critical areas </w:t>
      </w:r>
      <w:r>
        <w:rPr>
          <w:kern w:val="16"/>
        </w:rPr>
        <w:t>the expected radiation levels for the coming years of LHC operation.</w:t>
      </w:r>
    </w:p>
    <w:p w:rsidR="00A65CFF" w:rsidRDefault="00A65CFF" w:rsidP="00677871">
      <w:pPr>
        <w:pStyle w:val="BodyTextIndent"/>
        <w:ind w:firstLine="0"/>
        <w:rPr>
          <w:kern w:val="16"/>
        </w:rPr>
      </w:pPr>
    </w:p>
    <w:p w:rsidR="00A65CFF" w:rsidRPr="00301E7E" w:rsidRDefault="00A65CFF" w:rsidP="00A65CFF">
      <w:pPr>
        <w:pStyle w:val="BodyTextIndent"/>
        <w:rPr>
          <w:kern w:val="16"/>
        </w:rPr>
      </w:pPr>
      <w:r>
        <w:rPr>
          <w:kern w:val="16"/>
        </w:rPr>
        <w:t>Table 8 and 9 nicely show that while radiation levels were generally low during the 2010 operation period</w:t>
      </w:r>
      <w:r w:rsidR="00FE3B74">
        <w:rPr>
          <w:kern w:val="16"/>
        </w:rPr>
        <w:t xml:space="preserve"> (lower intensity/luminosity and beam availability)</w:t>
      </w:r>
      <w:r>
        <w:rPr>
          <w:kern w:val="16"/>
        </w:rPr>
        <w:t xml:space="preserve">, they </w:t>
      </w:r>
      <w:r>
        <w:rPr>
          <w:kern w:val="16"/>
        </w:rPr>
        <w:lastRenderedPageBreak/>
        <w:t>will reach significant levels already in 2011/12 and high levels during nominal and ultimate operation if no mitigation measures are taken.</w:t>
      </w:r>
    </w:p>
    <w:p w:rsidR="002260F1" w:rsidRDefault="002260F1" w:rsidP="007F3245">
      <w:pPr>
        <w:pStyle w:val="BodyTextIndent"/>
        <w:rPr>
          <w:kern w:val="16"/>
        </w:rPr>
      </w:pPr>
    </w:p>
    <w:p w:rsidR="00677871" w:rsidRPr="008F0ED6" w:rsidRDefault="00677871" w:rsidP="00180040">
      <w:pPr>
        <w:pStyle w:val="TableCaption0"/>
        <w:jc w:val="both"/>
        <w:rPr>
          <w:kern w:val="16"/>
        </w:rPr>
      </w:pPr>
      <w:r>
        <w:rPr>
          <w:kern w:val="16"/>
        </w:rPr>
        <w:t xml:space="preserve">Table 9: Predicted annual radiation levels (high-energy </w:t>
      </w:r>
      <w:proofErr w:type="spellStart"/>
      <w:r>
        <w:rPr>
          <w:kern w:val="16"/>
        </w:rPr>
        <w:t>hadron</w:t>
      </w:r>
      <w:proofErr w:type="spellEnd"/>
      <w:r>
        <w:rPr>
          <w:kern w:val="16"/>
        </w:rPr>
        <w:t xml:space="preserve"> </w:t>
      </w:r>
      <w:proofErr w:type="spellStart"/>
      <w:r>
        <w:rPr>
          <w:kern w:val="16"/>
        </w:rPr>
        <w:t>fluence</w:t>
      </w:r>
      <w:proofErr w:type="spellEnd"/>
      <w:r>
        <w:rPr>
          <w:kern w:val="16"/>
        </w:rPr>
        <w:t xml:space="preserve"> in [cm</w:t>
      </w:r>
      <w:r w:rsidRPr="00D673AF">
        <w:rPr>
          <w:kern w:val="16"/>
          <w:vertAlign w:val="superscript"/>
        </w:rPr>
        <w:t>-2</w:t>
      </w:r>
      <w:r>
        <w:rPr>
          <w:kern w:val="16"/>
        </w:rPr>
        <w:t>] above 20MeV) for the coming years of LHC operation.</w:t>
      </w:r>
      <w:r w:rsidR="00DA4CBD">
        <w:rPr>
          <w:kern w:val="16"/>
        </w:rPr>
        <w:t xml:space="preserve"> Predictions take into account the measured radiation levels as given in Table 8.</w:t>
      </w:r>
    </w:p>
    <w:tbl>
      <w:tblPr>
        <w:tblStyle w:val="TableSimple1"/>
        <w:tblW w:w="4820" w:type="dxa"/>
        <w:tblInd w:w="108" w:type="dxa"/>
        <w:tblLayout w:type="fixed"/>
        <w:tblLook w:val="00A0"/>
      </w:tblPr>
      <w:tblGrid>
        <w:gridCol w:w="966"/>
        <w:gridCol w:w="980"/>
        <w:gridCol w:w="910"/>
        <w:gridCol w:w="980"/>
        <w:gridCol w:w="984"/>
      </w:tblGrid>
      <w:tr w:rsidR="00677871" w:rsidRPr="00A65CFF" w:rsidTr="007669DD">
        <w:trPr>
          <w:cnfStyle w:val="100000000000"/>
          <w:trHeight w:val="180"/>
        </w:trPr>
        <w:tc>
          <w:tcPr>
            <w:tcW w:w="966" w:type="dxa"/>
            <w:tcBorders>
              <w:top w:val="single" w:sz="8" w:space="0" w:color="auto"/>
              <w:bottom w:val="single" w:sz="4" w:space="0" w:color="auto"/>
            </w:tcBorders>
            <w:vAlign w:val="center"/>
          </w:tcPr>
          <w:p w:rsidR="00677871" w:rsidRPr="00A65CFF" w:rsidRDefault="00677871" w:rsidP="00180040">
            <w:pPr>
              <w:pStyle w:val="BodyText"/>
              <w:spacing w:beforeLines="60" w:line="220" w:lineRule="exact"/>
              <w:jc w:val="center"/>
              <w:rPr>
                <w:rFonts w:ascii="Times New Roman" w:eastAsia="MS Mincho" w:hAnsi="Times New Roman"/>
                <w:bCs/>
                <w:szCs w:val="20"/>
                <w:lang w:eastAsia="ja-JP"/>
              </w:rPr>
            </w:pPr>
            <w:r w:rsidRPr="00A65CFF">
              <w:rPr>
                <w:rFonts w:ascii="Times New Roman" w:hAnsi="Times New Roman"/>
                <w:b/>
                <w:szCs w:val="20"/>
              </w:rPr>
              <w:t>Critical Area</w:t>
            </w:r>
          </w:p>
        </w:tc>
        <w:tc>
          <w:tcPr>
            <w:tcW w:w="980" w:type="dxa"/>
            <w:tcBorders>
              <w:top w:val="single" w:sz="8" w:space="0" w:color="auto"/>
              <w:bottom w:val="single" w:sz="4" w:space="0" w:color="auto"/>
            </w:tcBorders>
            <w:vAlign w:val="center"/>
          </w:tcPr>
          <w:p w:rsidR="00677871" w:rsidRPr="00A65CFF" w:rsidRDefault="00677871" w:rsidP="00180040">
            <w:pPr>
              <w:spacing w:beforeLines="60"/>
              <w:jc w:val="center"/>
              <w:rPr>
                <w:rFonts w:ascii="Times New Roman" w:hAnsi="Times New Roman"/>
                <w:b/>
                <w:szCs w:val="20"/>
                <w:lang w:eastAsia="en-GB"/>
              </w:rPr>
            </w:pPr>
            <w:r w:rsidRPr="00A65CFF">
              <w:rPr>
                <w:rFonts w:ascii="Times New Roman" w:hAnsi="Times New Roman"/>
                <w:b/>
                <w:szCs w:val="20"/>
                <w:lang w:eastAsia="en-GB"/>
              </w:rPr>
              <w:t>2011</w:t>
            </w:r>
            <w:r w:rsidRPr="00A65CFF">
              <w:rPr>
                <w:rFonts w:ascii="Times New Roman" w:hAnsi="Times New Roman"/>
                <w:b/>
                <w:szCs w:val="20"/>
                <w:lang w:eastAsia="en-GB"/>
              </w:rPr>
              <w:br/>
              <w:t>[cm</w:t>
            </w:r>
            <w:r w:rsidRPr="00A65CFF">
              <w:rPr>
                <w:rFonts w:ascii="Times New Roman" w:hAnsi="Times New Roman"/>
                <w:b/>
                <w:szCs w:val="20"/>
                <w:vertAlign w:val="superscript"/>
                <w:lang w:eastAsia="en-GB"/>
              </w:rPr>
              <w:t>-2</w:t>
            </w:r>
            <w:r w:rsidRPr="00A65CFF">
              <w:rPr>
                <w:rFonts w:ascii="Times New Roman" w:hAnsi="Times New Roman"/>
                <w:b/>
                <w:szCs w:val="20"/>
                <w:lang w:eastAsia="en-GB"/>
              </w:rPr>
              <w:t>]</w:t>
            </w:r>
          </w:p>
        </w:tc>
        <w:tc>
          <w:tcPr>
            <w:tcW w:w="910" w:type="dxa"/>
            <w:tcBorders>
              <w:top w:val="single" w:sz="8" w:space="0" w:color="auto"/>
              <w:bottom w:val="single" w:sz="4" w:space="0" w:color="auto"/>
            </w:tcBorders>
            <w:vAlign w:val="center"/>
          </w:tcPr>
          <w:p w:rsidR="00677871" w:rsidRPr="00A65CFF" w:rsidRDefault="00677871" w:rsidP="00180040">
            <w:pPr>
              <w:pStyle w:val="BodyTextIndent"/>
              <w:spacing w:beforeLines="60"/>
              <w:ind w:firstLine="0"/>
              <w:jc w:val="center"/>
              <w:rPr>
                <w:b/>
                <w:lang w:val="de-CH"/>
              </w:rPr>
            </w:pPr>
            <w:r w:rsidRPr="00A65CFF">
              <w:rPr>
                <w:b/>
                <w:lang w:val="de-CH" w:eastAsia="en-GB"/>
              </w:rPr>
              <w:t>2012</w:t>
            </w:r>
            <w:r w:rsidRPr="00A65CFF">
              <w:rPr>
                <w:b/>
                <w:lang w:val="de-CH" w:eastAsia="en-GB"/>
              </w:rPr>
              <w:br/>
              <w:t>[cm</w:t>
            </w:r>
            <w:r w:rsidRPr="00A65CFF">
              <w:rPr>
                <w:b/>
                <w:vertAlign w:val="superscript"/>
                <w:lang w:val="de-CH" w:eastAsia="en-GB"/>
              </w:rPr>
              <w:t>-2</w:t>
            </w:r>
            <w:r w:rsidRPr="00A65CFF">
              <w:rPr>
                <w:b/>
                <w:lang w:val="de-CH" w:eastAsia="en-GB"/>
              </w:rPr>
              <w:t>]</w:t>
            </w:r>
          </w:p>
        </w:tc>
        <w:tc>
          <w:tcPr>
            <w:tcW w:w="980" w:type="dxa"/>
            <w:tcBorders>
              <w:top w:val="single" w:sz="8" w:space="0" w:color="auto"/>
              <w:bottom w:val="single" w:sz="4" w:space="0" w:color="auto"/>
            </w:tcBorders>
            <w:vAlign w:val="center"/>
          </w:tcPr>
          <w:p w:rsidR="00677871" w:rsidRPr="00A65CFF" w:rsidRDefault="00677871" w:rsidP="00180040">
            <w:pPr>
              <w:pStyle w:val="BodyTextIndent"/>
              <w:spacing w:beforeLines="60"/>
              <w:ind w:firstLine="0"/>
              <w:jc w:val="center"/>
              <w:rPr>
                <w:b/>
                <w:lang w:val="de-CH"/>
              </w:rPr>
            </w:pPr>
            <w:r w:rsidRPr="00A65CFF">
              <w:rPr>
                <w:b/>
                <w:lang w:val="de-CH" w:eastAsia="en-GB"/>
              </w:rPr>
              <w:t>Nominal</w:t>
            </w:r>
            <w:r w:rsidRPr="00A65CFF">
              <w:rPr>
                <w:b/>
                <w:lang w:val="de-CH" w:eastAsia="en-GB"/>
              </w:rPr>
              <w:br/>
              <w:t>[cm</w:t>
            </w:r>
            <w:r w:rsidRPr="00A65CFF">
              <w:rPr>
                <w:b/>
                <w:vertAlign w:val="superscript"/>
                <w:lang w:val="de-CH" w:eastAsia="en-GB"/>
              </w:rPr>
              <w:t>-2</w:t>
            </w:r>
            <w:r w:rsidRPr="00A65CFF">
              <w:rPr>
                <w:b/>
                <w:lang w:val="de-CH" w:eastAsia="en-GB"/>
              </w:rPr>
              <w:t>]</w:t>
            </w:r>
          </w:p>
        </w:tc>
        <w:tc>
          <w:tcPr>
            <w:tcW w:w="984" w:type="dxa"/>
            <w:tcBorders>
              <w:top w:val="single" w:sz="8" w:space="0" w:color="auto"/>
              <w:bottom w:val="single" w:sz="4" w:space="0" w:color="auto"/>
            </w:tcBorders>
            <w:vAlign w:val="center"/>
          </w:tcPr>
          <w:p w:rsidR="00677871" w:rsidRPr="00A65CFF" w:rsidRDefault="00677871" w:rsidP="00180040">
            <w:pPr>
              <w:pStyle w:val="BodyTextIndent"/>
              <w:spacing w:beforeLines="60"/>
              <w:ind w:firstLine="0"/>
              <w:jc w:val="center"/>
              <w:rPr>
                <w:b/>
                <w:lang w:val="de-CH" w:eastAsia="en-GB"/>
              </w:rPr>
            </w:pPr>
            <w:r w:rsidRPr="00A65CFF">
              <w:rPr>
                <w:b/>
                <w:lang w:val="de-CH" w:eastAsia="en-GB"/>
              </w:rPr>
              <w:t>Ultimate</w:t>
            </w:r>
            <w:r w:rsidRPr="00A65CFF">
              <w:rPr>
                <w:b/>
                <w:lang w:val="de-CH" w:eastAsia="en-GB"/>
              </w:rPr>
              <w:br/>
              <w:t>[cm</w:t>
            </w:r>
            <w:r w:rsidRPr="00A65CFF">
              <w:rPr>
                <w:b/>
                <w:vertAlign w:val="superscript"/>
                <w:lang w:val="de-CH" w:eastAsia="en-GB"/>
              </w:rPr>
              <w:t>-2</w:t>
            </w:r>
            <w:r w:rsidRPr="00A65CFF">
              <w:rPr>
                <w:b/>
                <w:lang w:val="de-CH" w:eastAsia="en-GB"/>
              </w:rPr>
              <w:t>]</w:t>
            </w:r>
          </w:p>
        </w:tc>
      </w:tr>
      <w:tr w:rsidR="00677871" w:rsidRPr="00A65CFF" w:rsidTr="007669DD">
        <w:tc>
          <w:tcPr>
            <w:tcW w:w="966" w:type="dxa"/>
            <w:tcBorders>
              <w:top w:val="single" w:sz="4" w:space="0" w:color="auto"/>
              <w:bottom w:val="single" w:sz="8" w:space="0" w:color="auto"/>
            </w:tcBorders>
            <w:vAlign w:val="bottom"/>
          </w:tcPr>
          <w:p w:rsidR="00677871" w:rsidRPr="00A65CFF" w:rsidRDefault="00677871" w:rsidP="007669DD">
            <w:pPr>
              <w:jc w:val="center"/>
              <w:rPr>
                <w:rFonts w:ascii="Times New Roman" w:hAnsi="Times New Roman"/>
                <w:color w:val="000000"/>
                <w:szCs w:val="20"/>
                <w:lang w:val="de-CH"/>
              </w:rPr>
            </w:pPr>
            <w:r w:rsidRPr="00A65CFF">
              <w:rPr>
                <w:rFonts w:ascii="Times New Roman" w:hAnsi="Times New Roman"/>
                <w:color w:val="000000"/>
                <w:szCs w:val="20"/>
                <w:lang w:val="de-CH"/>
              </w:rPr>
              <w:t>UJ14/16</w:t>
            </w:r>
          </w:p>
        </w:tc>
        <w:tc>
          <w:tcPr>
            <w:tcW w:w="98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7.2E+07</w:t>
            </w:r>
          </w:p>
        </w:tc>
        <w:tc>
          <w:tcPr>
            <w:tcW w:w="91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1.2E+08</w:t>
            </w:r>
          </w:p>
        </w:tc>
        <w:tc>
          <w:tcPr>
            <w:tcW w:w="98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2.1E+09</w:t>
            </w:r>
          </w:p>
        </w:tc>
        <w:tc>
          <w:tcPr>
            <w:tcW w:w="984"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4.2E+09</w:t>
            </w:r>
          </w:p>
        </w:tc>
      </w:tr>
      <w:tr w:rsidR="00677871" w:rsidRPr="00A65CFF" w:rsidTr="007669DD">
        <w:tc>
          <w:tcPr>
            <w:tcW w:w="966" w:type="dxa"/>
            <w:tcBorders>
              <w:top w:val="single" w:sz="4" w:space="0" w:color="auto"/>
              <w:bottom w:val="single" w:sz="8" w:space="0" w:color="auto"/>
            </w:tcBorders>
            <w:vAlign w:val="bottom"/>
          </w:tcPr>
          <w:p w:rsidR="00677871" w:rsidRPr="00A65CFF" w:rsidRDefault="00677871" w:rsidP="007669DD">
            <w:pPr>
              <w:jc w:val="center"/>
              <w:rPr>
                <w:rFonts w:ascii="Times New Roman" w:hAnsi="Times New Roman"/>
                <w:color w:val="000000"/>
                <w:szCs w:val="20"/>
                <w:lang w:val="de-CH"/>
              </w:rPr>
            </w:pPr>
            <w:r w:rsidRPr="00A65CFF">
              <w:rPr>
                <w:rFonts w:ascii="Times New Roman" w:hAnsi="Times New Roman"/>
                <w:color w:val="000000"/>
                <w:szCs w:val="20"/>
                <w:lang w:val="de-CH"/>
              </w:rPr>
              <w:t>RR13/17</w:t>
            </w:r>
          </w:p>
        </w:tc>
        <w:tc>
          <w:tcPr>
            <w:tcW w:w="98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4.3E+07</w:t>
            </w:r>
          </w:p>
        </w:tc>
        <w:tc>
          <w:tcPr>
            <w:tcW w:w="91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7.1E+07</w:t>
            </w:r>
          </w:p>
        </w:tc>
        <w:tc>
          <w:tcPr>
            <w:tcW w:w="98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1.2E+09</w:t>
            </w:r>
          </w:p>
        </w:tc>
        <w:tc>
          <w:tcPr>
            <w:tcW w:w="984"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2.5E+09</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lang w:val="de-CH"/>
              </w:rPr>
            </w:pPr>
            <w:r w:rsidRPr="00A65CFF">
              <w:rPr>
                <w:rFonts w:ascii="Times New Roman" w:hAnsi="Times New Roman"/>
                <w:color w:val="000000"/>
                <w:szCs w:val="20"/>
                <w:lang w:val="de-CH"/>
              </w:rPr>
              <w:t>UJ56</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1.7E+07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2.9E+07</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5.0E+08</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1.0E+09</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lang w:val="de-CH"/>
              </w:rPr>
            </w:pPr>
            <w:r w:rsidRPr="00A65CFF">
              <w:rPr>
                <w:rFonts w:ascii="Times New Roman" w:hAnsi="Times New Roman"/>
                <w:color w:val="000000"/>
                <w:szCs w:val="20"/>
                <w:lang w:val="de-CH"/>
              </w:rPr>
              <w:t>RR53/57</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4.3E+07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7.1E+07</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1.2E+09</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2.5E+09</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UJ76</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4.7E+07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8.0E+07</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7.4E+08</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8.3E+08</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RR73/77</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6.9E+07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1.2E+08</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1.1E+09</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1.2E+09</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UX85b</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9.4E+07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1.9E+08</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3.3E+08</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3.3E+09</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US85</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2.7E+07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5.4E+07</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9.4E+07</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9.4E+08</w:t>
            </w:r>
          </w:p>
        </w:tc>
      </w:tr>
      <w:tr w:rsidR="00677871" w:rsidRPr="00A65CFF" w:rsidTr="007669DD">
        <w:tc>
          <w:tcPr>
            <w:tcW w:w="966" w:type="dxa"/>
            <w:tcBorders>
              <w:top w:val="single" w:sz="4" w:space="0" w:color="auto"/>
              <w:bottom w:val="single" w:sz="4" w:space="0" w:color="auto"/>
            </w:tcBorders>
            <w:vAlign w:val="bottom"/>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UJ23</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7.2E+07</w:t>
            </w:r>
          </w:p>
        </w:tc>
        <w:tc>
          <w:tcPr>
            <w:tcW w:w="91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1.2E+08</w:t>
            </w:r>
          </w:p>
        </w:tc>
        <w:tc>
          <w:tcPr>
            <w:tcW w:w="980"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2.1E+09</w:t>
            </w:r>
          </w:p>
        </w:tc>
        <w:tc>
          <w:tcPr>
            <w:tcW w:w="984" w:type="dxa"/>
            <w:tcBorders>
              <w:top w:val="single" w:sz="4" w:space="0" w:color="auto"/>
              <w:bottom w:val="single" w:sz="4"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4.2E+09</w:t>
            </w:r>
          </w:p>
        </w:tc>
      </w:tr>
      <w:tr w:rsidR="00677871" w:rsidRPr="00A65CFF" w:rsidTr="007669DD">
        <w:trPr>
          <w:trHeight w:val="268"/>
        </w:trPr>
        <w:tc>
          <w:tcPr>
            <w:tcW w:w="966" w:type="dxa"/>
            <w:tcBorders>
              <w:top w:val="single" w:sz="4" w:space="0" w:color="auto"/>
              <w:bottom w:val="single" w:sz="8" w:space="0" w:color="auto"/>
            </w:tcBorders>
            <w:vAlign w:val="bottom"/>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UJ87</w:t>
            </w:r>
          </w:p>
        </w:tc>
        <w:tc>
          <w:tcPr>
            <w:tcW w:w="98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4.3E+07</w:t>
            </w:r>
          </w:p>
        </w:tc>
        <w:tc>
          <w:tcPr>
            <w:tcW w:w="91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7.1E+07</w:t>
            </w:r>
          </w:p>
        </w:tc>
        <w:tc>
          <w:tcPr>
            <w:tcW w:w="980"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1.2E+09</w:t>
            </w:r>
          </w:p>
        </w:tc>
        <w:tc>
          <w:tcPr>
            <w:tcW w:w="984" w:type="dxa"/>
            <w:tcBorders>
              <w:top w:val="single" w:sz="4" w:space="0" w:color="auto"/>
              <w:bottom w:val="single" w:sz="8" w:space="0" w:color="auto"/>
            </w:tcBorders>
            <w:vAlign w:val="center"/>
          </w:tcPr>
          <w:p w:rsidR="00677871" w:rsidRPr="00A65CFF" w:rsidRDefault="00677871" w:rsidP="007669DD">
            <w:pPr>
              <w:jc w:val="center"/>
              <w:rPr>
                <w:rFonts w:ascii="Times New Roman" w:hAnsi="Times New Roman"/>
                <w:color w:val="000000"/>
                <w:szCs w:val="20"/>
              </w:rPr>
            </w:pPr>
            <w:r w:rsidRPr="00A65CFF">
              <w:rPr>
                <w:rFonts w:ascii="Times New Roman" w:hAnsi="Times New Roman"/>
                <w:color w:val="000000"/>
                <w:szCs w:val="20"/>
              </w:rPr>
              <w:t>2.5E+09</w:t>
            </w:r>
          </w:p>
        </w:tc>
      </w:tr>
    </w:tbl>
    <w:p w:rsidR="00677871" w:rsidRDefault="00677871" w:rsidP="007F3245">
      <w:pPr>
        <w:pStyle w:val="BodyTextIndent"/>
        <w:rPr>
          <w:kern w:val="16"/>
        </w:rPr>
      </w:pPr>
    </w:p>
    <w:p w:rsidR="00A65CFF" w:rsidRDefault="00A65CFF" w:rsidP="007F3245">
      <w:pPr>
        <w:pStyle w:val="BodyTextIndent"/>
        <w:rPr>
          <w:kern w:val="16"/>
        </w:rPr>
      </w:pPr>
      <w:r>
        <w:rPr>
          <w:kern w:val="16"/>
        </w:rPr>
        <w:t xml:space="preserve">It shall be noted that </w:t>
      </w:r>
      <w:r w:rsidR="00FE3B74">
        <w:rPr>
          <w:kern w:val="16"/>
        </w:rPr>
        <w:t xml:space="preserve">underlying </w:t>
      </w:r>
      <w:r>
        <w:rPr>
          <w:kern w:val="16"/>
        </w:rPr>
        <w:t xml:space="preserve">uncertainties </w:t>
      </w:r>
      <w:r w:rsidR="00FE3B74">
        <w:rPr>
          <w:kern w:val="16"/>
        </w:rPr>
        <w:t xml:space="preserve">of </w:t>
      </w:r>
      <w:r>
        <w:rPr>
          <w:kern w:val="16"/>
        </w:rPr>
        <w:t xml:space="preserve">the here presented estimates are not insignificant and mainly connected to the actual behaviour of the LHC accelerator. </w:t>
      </w:r>
    </w:p>
    <w:p w:rsidR="007F3245" w:rsidRDefault="007F3245" w:rsidP="007F3245">
      <w:pPr>
        <w:pStyle w:val="Heading2"/>
        <w:spacing w:before="180"/>
      </w:pPr>
      <w:r>
        <w:t xml:space="preserve">observed equipment failures </w:t>
      </w:r>
      <w:r w:rsidR="00997B14">
        <w:t>DURING</w:t>
      </w:r>
      <w:r>
        <w:t xml:space="preserve"> 2010</w:t>
      </w:r>
      <w:r w:rsidR="00997B14">
        <w:t xml:space="preserve"> LHC OPERATION</w:t>
      </w:r>
    </w:p>
    <w:p w:rsidR="007F3245" w:rsidRDefault="00FE3B74" w:rsidP="007F3245">
      <w:pPr>
        <w:pStyle w:val="BodyTextIndent"/>
        <w:rPr>
          <w:kern w:val="16"/>
        </w:rPr>
      </w:pPr>
      <w:r>
        <w:rPr>
          <w:kern w:val="16"/>
        </w:rPr>
        <w:t xml:space="preserve">As discussed in the previous chapters, radiation levels were </w:t>
      </w:r>
      <w:r w:rsidR="00421C68">
        <w:rPr>
          <w:kern w:val="16"/>
        </w:rPr>
        <w:t>relatively low during 2010 LHC operation</w:t>
      </w:r>
      <w:r w:rsidR="007F3245">
        <w:rPr>
          <w:kern w:val="16"/>
        </w:rPr>
        <w:t>.</w:t>
      </w:r>
      <w:r w:rsidR="00421C68">
        <w:rPr>
          <w:kern w:val="16"/>
        </w:rPr>
        <w:t xml:space="preserve"> </w:t>
      </w:r>
      <w:r w:rsidR="00CC6008">
        <w:rPr>
          <w:kern w:val="16"/>
        </w:rPr>
        <w:t>Furthermore, e</w:t>
      </w:r>
      <w:r w:rsidR="00421C68">
        <w:rPr>
          <w:kern w:val="16"/>
        </w:rPr>
        <w:t>xpected failure cross-sections for unknown equipment</w:t>
      </w:r>
      <w:r w:rsidR="007F3245">
        <w:rPr>
          <w:kern w:val="16"/>
        </w:rPr>
        <w:t xml:space="preserve"> </w:t>
      </w:r>
      <w:r w:rsidR="00421C68">
        <w:rPr>
          <w:kern w:val="16"/>
        </w:rPr>
        <w:t>can range several order</w:t>
      </w:r>
      <w:r w:rsidR="00FA2BB7">
        <w:rPr>
          <w:kern w:val="16"/>
        </w:rPr>
        <w:t>s</w:t>
      </w:r>
      <w:r w:rsidR="00421C68">
        <w:rPr>
          <w:kern w:val="16"/>
        </w:rPr>
        <w:t xml:space="preserve"> of magnitudes, where an annual high-energy hadron fluence of 10</w:t>
      </w:r>
      <w:r w:rsidR="00421C68" w:rsidRPr="00421C68">
        <w:rPr>
          <w:kern w:val="16"/>
          <w:vertAlign w:val="superscript"/>
        </w:rPr>
        <w:t>7</w:t>
      </w:r>
      <w:r w:rsidR="00421C68">
        <w:rPr>
          <w:kern w:val="16"/>
        </w:rPr>
        <w:t>cm</w:t>
      </w:r>
      <w:r w:rsidR="00421C68" w:rsidRPr="00421C68">
        <w:rPr>
          <w:kern w:val="16"/>
          <w:vertAlign w:val="superscript"/>
        </w:rPr>
        <w:t>-2</w:t>
      </w:r>
      <w:r w:rsidR="00421C68">
        <w:rPr>
          <w:kern w:val="16"/>
        </w:rPr>
        <w:t>y</w:t>
      </w:r>
      <w:r w:rsidR="00421C68" w:rsidRPr="00421C68">
        <w:rPr>
          <w:kern w:val="16"/>
          <w:vertAlign w:val="superscript"/>
        </w:rPr>
        <w:t>-1</w:t>
      </w:r>
      <w:r w:rsidR="00421C68">
        <w:rPr>
          <w:kern w:val="16"/>
        </w:rPr>
        <w:t xml:space="preserve"> is considered as a reasonable ‘threshold’ level [17] where radiation induced failures start becoming visible above their standard failure modes (leading to a </w:t>
      </w:r>
      <w:r w:rsidR="00C8261E">
        <w:rPr>
          <w:kern w:val="16"/>
        </w:rPr>
        <w:t>comparable</w:t>
      </w:r>
      <w:r w:rsidR="00421C68">
        <w:rPr>
          <w:kern w:val="16"/>
        </w:rPr>
        <w:t xml:space="preserve"> equipment MTBF without radiation</w:t>
      </w:r>
      <w:r w:rsidR="00F12BAA">
        <w:rPr>
          <w:kern w:val="16"/>
        </w:rPr>
        <w:t xml:space="preserve">; </w:t>
      </w:r>
      <w:r w:rsidR="00F12BAA" w:rsidRPr="00F12BAA">
        <w:rPr>
          <w:i/>
          <w:kern w:val="16"/>
        </w:rPr>
        <w:t>e.g.</w:t>
      </w:r>
      <w:r w:rsidR="00F12BAA">
        <w:rPr>
          <w:kern w:val="16"/>
        </w:rPr>
        <w:t xml:space="preserve"> without radiation the current power-converters aim for an MTBF of about 10</w:t>
      </w:r>
      <w:r w:rsidR="00F12BAA" w:rsidRPr="00F12BAA">
        <w:rPr>
          <w:kern w:val="16"/>
          <w:vertAlign w:val="superscript"/>
        </w:rPr>
        <w:t>5</w:t>
      </w:r>
      <w:r w:rsidR="00F12BAA">
        <w:rPr>
          <w:kern w:val="16"/>
        </w:rPr>
        <w:t>h per equipment</w:t>
      </w:r>
      <w:r w:rsidR="00421C68">
        <w:rPr>
          <w:kern w:val="16"/>
        </w:rPr>
        <w:t xml:space="preserve">). </w:t>
      </w:r>
    </w:p>
    <w:p w:rsidR="00421C68" w:rsidRDefault="00421C68" w:rsidP="007F3245">
      <w:pPr>
        <w:pStyle w:val="BodyTextIndent"/>
        <w:rPr>
          <w:kern w:val="16"/>
        </w:rPr>
      </w:pPr>
    </w:p>
    <w:p w:rsidR="00421C68" w:rsidRDefault="00421C68" w:rsidP="007F3245">
      <w:pPr>
        <w:pStyle w:val="BodyTextIndent"/>
        <w:rPr>
          <w:kern w:val="16"/>
        </w:rPr>
      </w:pPr>
      <w:r>
        <w:rPr>
          <w:kern w:val="16"/>
        </w:rPr>
        <w:t xml:space="preserve">Especially during the period of early LHC operation, and respective low radiation levels, it is </w:t>
      </w:r>
      <w:r w:rsidR="00CC6008">
        <w:rPr>
          <w:kern w:val="16"/>
        </w:rPr>
        <w:t xml:space="preserve">thus </w:t>
      </w:r>
      <w:r>
        <w:rPr>
          <w:kern w:val="16"/>
        </w:rPr>
        <w:t xml:space="preserve">very difficult to distinguish a radiation induced equipment failure from another one which is a standard equipment failure mode. This can be further illustrated by the fact that one is observing a very large sample of electronic components in the LHC with all of them having non-radiation induced failure modes and respective probabilities. Based on </w:t>
      </w:r>
      <w:r w:rsidR="00CC6008">
        <w:rPr>
          <w:kern w:val="16"/>
        </w:rPr>
        <w:t xml:space="preserve">partly measured failure cross sections and assuming </w:t>
      </w:r>
      <w:r w:rsidR="00DA4CBD">
        <w:rPr>
          <w:kern w:val="16"/>
        </w:rPr>
        <w:br/>
      </w:r>
      <w:r w:rsidR="00CC6008">
        <w:rPr>
          <w:kern w:val="16"/>
        </w:rPr>
        <w:t>10</w:t>
      </w:r>
      <w:r w:rsidR="00CC6008" w:rsidRPr="00CC6008">
        <w:rPr>
          <w:kern w:val="16"/>
          <w:vertAlign w:val="superscript"/>
        </w:rPr>
        <w:t>-7</w:t>
      </w:r>
      <w:r w:rsidR="00CC6008">
        <w:rPr>
          <w:kern w:val="16"/>
        </w:rPr>
        <w:t>cm</w:t>
      </w:r>
      <w:r w:rsidR="00CC6008" w:rsidRPr="00CC6008">
        <w:rPr>
          <w:kern w:val="16"/>
          <w:vertAlign w:val="superscript"/>
        </w:rPr>
        <w:t>2</w:t>
      </w:r>
      <w:r w:rsidR="00CC6008">
        <w:rPr>
          <w:kern w:val="16"/>
        </w:rPr>
        <w:t xml:space="preserve"> as conservative cross-section for unknown equipment only a few radiation induced failures were expected during the 2010 operation period [18]. It would thus be necessary analyzing in detail all occurring failures, which is not entirely possible. </w:t>
      </w:r>
    </w:p>
    <w:p w:rsidR="00CC6008" w:rsidRDefault="00CC6008" w:rsidP="007F3245">
      <w:pPr>
        <w:pStyle w:val="BodyTextIndent"/>
        <w:rPr>
          <w:kern w:val="16"/>
        </w:rPr>
      </w:pPr>
      <w:r>
        <w:rPr>
          <w:kern w:val="16"/>
        </w:rPr>
        <w:t>R2E has thus setup a procedure where failures leading to beam-stop (as discussed during the LHC 8:30h meeting) were checked if they fulfil the following criteria:</w:t>
      </w:r>
    </w:p>
    <w:p w:rsidR="00CC6008" w:rsidRDefault="00CC6008" w:rsidP="00CC6008">
      <w:pPr>
        <w:pStyle w:val="BodyTextIndent"/>
        <w:numPr>
          <w:ilvl w:val="0"/>
          <w:numId w:val="23"/>
        </w:numPr>
        <w:rPr>
          <w:kern w:val="16"/>
        </w:rPr>
      </w:pPr>
      <w:r>
        <w:rPr>
          <w:kern w:val="16"/>
        </w:rPr>
        <w:lastRenderedPageBreak/>
        <w:t xml:space="preserve">did the problem happen together with high radiation levels </w:t>
      </w:r>
      <w:r w:rsidR="00C8261E">
        <w:rPr>
          <w:kern w:val="16"/>
        </w:rPr>
        <w:t xml:space="preserve">occurring </w:t>
      </w:r>
      <w:r>
        <w:rPr>
          <w:kern w:val="16"/>
        </w:rPr>
        <w:t xml:space="preserve">in the area </w:t>
      </w:r>
      <w:r w:rsidR="00C8261E">
        <w:rPr>
          <w:kern w:val="16"/>
        </w:rPr>
        <w:t xml:space="preserve">at the same time </w:t>
      </w:r>
      <w:r>
        <w:rPr>
          <w:kern w:val="16"/>
        </w:rPr>
        <w:t>(radiation spike, higher losses)</w:t>
      </w:r>
    </w:p>
    <w:p w:rsidR="00CC6008" w:rsidRDefault="00CC6008" w:rsidP="00CC6008">
      <w:pPr>
        <w:pStyle w:val="BodyTextIndent"/>
        <w:numPr>
          <w:ilvl w:val="0"/>
          <w:numId w:val="23"/>
        </w:numPr>
        <w:rPr>
          <w:kern w:val="16"/>
        </w:rPr>
      </w:pPr>
      <w:r>
        <w:rPr>
          <w:kern w:val="16"/>
        </w:rPr>
        <w:t xml:space="preserve">is the failure occurring in a critical area and on a possibly radiation sensitive equipment </w:t>
      </w:r>
    </w:p>
    <w:p w:rsidR="00CC6008" w:rsidRDefault="00CC6008" w:rsidP="00CC6008">
      <w:pPr>
        <w:pStyle w:val="BodyTextIndent"/>
        <w:numPr>
          <w:ilvl w:val="0"/>
          <w:numId w:val="23"/>
        </w:numPr>
        <w:rPr>
          <w:kern w:val="16"/>
        </w:rPr>
      </w:pPr>
      <w:r>
        <w:rPr>
          <w:kern w:val="16"/>
        </w:rPr>
        <w:t>is the error linked to a communication problem and was resolved by a reset/power-cycle</w:t>
      </w:r>
    </w:p>
    <w:p w:rsidR="00CC6008" w:rsidRDefault="00CC6008" w:rsidP="00CC6008">
      <w:pPr>
        <w:pStyle w:val="BodyTextIndent"/>
        <w:numPr>
          <w:ilvl w:val="0"/>
          <w:numId w:val="23"/>
        </w:numPr>
        <w:rPr>
          <w:kern w:val="16"/>
        </w:rPr>
      </w:pPr>
      <w:r>
        <w:rPr>
          <w:kern w:val="16"/>
        </w:rPr>
        <w:t>is the failure mode recurrent and increasing in frequency with higher radiation levels</w:t>
      </w:r>
    </w:p>
    <w:p w:rsidR="00CC6008" w:rsidRDefault="00CC6008" w:rsidP="00CC6008">
      <w:pPr>
        <w:pStyle w:val="BodyTextIndent"/>
        <w:rPr>
          <w:kern w:val="16"/>
        </w:rPr>
      </w:pPr>
    </w:p>
    <w:p w:rsidR="00CC6008" w:rsidRDefault="00CC6008" w:rsidP="00CC6008">
      <w:pPr>
        <w:pStyle w:val="BodyTextIndent"/>
        <w:rPr>
          <w:kern w:val="16"/>
        </w:rPr>
      </w:pPr>
      <w:r>
        <w:rPr>
          <w:kern w:val="16"/>
        </w:rPr>
        <w:t>All failure candidates were then discussed in detail with the responsible equipment groups and through the “Radiation Working Group (RadWG) [19]”</w:t>
      </w:r>
      <w:r w:rsidR="003946D5">
        <w:rPr>
          <w:kern w:val="16"/>
        </w:rPr>
        <w:t xml:space="preserve"> in order to identify possible radiation induced failure candidates (see also the respective database available in the news section of the RAdWG website [19]). This analysis process is obviously not complete and with only a few failure candidates especially the above mentioned last criteria on the frequency of occurrence can hardly be applied.</w:t>
      </w:r>
    </w:p>
    <w:p w:rsidR="003946D5" w:rsidRDefault="003946D5" w:rsidP="00CC6008">
      <w:pPr>
        <w:pStyle w:val="BodyTextIndent"/>
        <w:rPr>
          <w:kern w:val="16"/>
        </w:rPr>
      </w:pPr>
    </w:p>
    <w:p w:rsidR="003946D5" w:rsidRDefault="003946D5" w:rsidP="00CC6008">
      <w:pPr>
        <w:pStyle w:val="BodyTextIndent"/>
        <w:rPr>
          <w:kern w:val="16"/>
        </w:rPr>
      </w:pPr>
      <w:r>
        <w:rPr>
          <w:kern w:val="16"/>
        </w:rPr>
        <w:t>However, the following few failures were successfully analyzed and confirmed as being very likely radiation induced:</w:t>
      </w:r>
    </w:p>
    <w:p w:rsidR="00604F75" w:rsidRPr="00604F75" w:rsidRDefault="00604F75" w:rsidP="00604F75">
      <w:pPr>
        <w:pStyle w:val="BodyTextIndent"/>
        <w:numPr>
          <w:ilvl w:val="0"/>
          <w:numId w:val="23"/>
        </w:numPr>
        <w:rPr>
          <w:kern w:val="16"/>
        </w:rPr>
      </w:pPr>
      <w:r w:rsidRPr="00604F75">
        <w:rPr>
          <w:kern w:val="16"/>
        </w:rPr>
        <w:t>WIC crate failure  in TI8</w:t>
      </w:r>
      <w:r>
        <w:rPr>
          <w:kern w:val="16"/>
        </w:rPr>
        <w:t>: this failure was already ob</w:t>
      </w:r>
      <w:r w:rsidRPr="00604F75">
        <w:rPr>
          <w:kern w:val="16"/>
        </w:rPr>
        <w:t>served in 2009</w:t>
      </w:r>
      <w:r>
        <w:rPr>
          <w:kern w:val="16"/>
        </w:rPr>
        <w:t xml:space="preserve"> and is due to a communication problem of the PLC which was also tested in CNGS reproducing the same behaviour [20]</w:t>
      </w:r>
      <w:r w:rsidR="001E0867">
        <w:rPr>
          <w:kern w:val="16"/>
        </w:rPr>
        <w:t>.</w:t>
      </w:r>
    </w:p>
    <w:p w:rsidR="00604F75" w:rsidRPr="00604F75" w:rsidRDefault="00604F75" w:rsidP="00604F75">
      <w:pPr>
        <w:pStyle w:val="BodyTextIndent"/>
        <w:numPr>
          <w:ilvl w:val="0"/>
          <w:numId w:val="23"/>
        </w:numPr>
        <w:rPr>
          <w:kern w:val="16"/>
        </w:rPr>
      </w:pPr>
      <w:r w:rsidRPr="00604F75">
        <w:rPr>
          <w:kern w:val="16"/>
        </w:rPr>
        <w:t xml:space="preserve">QPS </w:t>
      </w:r>
      <w:r>
        <w:rPr>
          <w:kern w:val="16"/>
        </w:rPr>
        <w:t>t</w:t>
      </w:r>
      <w:r w:rsidRPr="00604F75">
        <w:rPr>
          <w:kern w:val="16"/>
        </w:rPr>
        <w:t xml:space="preserve">unnel </w:t>
      </w:r>
      <w:r>
        <w:rPr>
          <w:kern w:val="16"/>
        </w:rPr>
        <w:t>c</w:t>
      </w:r>
      <w:r w:rsidRPr="00604F75">
        <w:rPr>
          <w:kern w:val="16"/>
        </w:rPr>
        <w:t xml:space="preserve">ard </w:t>
      </w:r>
      <w:r>
        <w:rPr>
          <w:kern w:val="16"/>
        </w:rPr>
        <w:t>f</w:t>
      </w:r>
      <w:r w:rsidRPr="00604F75">
        <w:rPr>
          <w:kern w:val="16"/>
        </w:rPr>
        <w:t>ailures</w:t>
      </w:r>
      <w:r>
        <w:rPr>
          <w:kern w:val="16"/>
        </w:rPr>
        <w:t>: problem with a digital isolator chip (ISO150) leading to a permanent PM trigger; occurred many times and at high-loss locations (injection TCDIs, adjacent to collimation regions); was in the beginning difficult to identify as SEE induced as a similar EMC induced failure mode exists</w:t>
      </w:r>
      <w:r w:rsidR="00D25A36">
        <w:rPr>
          <w:kern w:val="16"/>
        </w:rPr>
        <w:t>. This device was actually tested with radiation, however is used in a different way in its final implementation, thus making the electronics more vulnerable to the failure. Mitigation actions were already successfully developed in form of a firmware upgrade and partly integrated (the remaining locations will be continuously updated during the 2011 technical stops and accesses)</w:t>
      </w:r>
      <w:r w:rsidR="00577A99">
        <w:rPr>
          <w:kern w:val="16"/>
        </w:rPr>
        <w:t xml:space="preserve"> [21]</w:t>
      </w:r>
      <w:r w:rsidR="001E0867" w:rsidRPr="001E0867">
        <w:rPr>
          <w:kern w:val="16"/>
        </w:rPr>
        <w:t xml:space="preserve"> </w:t>
      </w:r>
      <w:r w:rsidR="001E0867">
        <w:rPr>
          <w:kern w:val="16"/>
        </w:rPr>
        <w:t>.</w:t>
      </w:r>
    </w:p>
    <w:p w:rsidR="003946D5" w:rsidRDefault="00604F75" w:rsidP="00604F75">
      <w:pPr>
        <w:pStyle w:val="BodyTextIndent"/>
        <w:numPr>
          <w:ilvl w:val="0"/>
          <w:numId w:val="23"/>
        </w:numPr>
        <w:rPr>
          <w:kern w:val="16"/>
        </w:rPr>
      </w:pPr>
      <w:r w:rsidRPr="00604F75">
        <w:rPr>
          <w:rFonts w:ascii="Symbol" w:hAnsi="Symbol"/>
          <w:kern w:val="16"/>
        </w:rPr>
        <w:t></w:t>
      </w:r>
      <w:r>
        <w:rPr>
          <w:kern w:val="16"/>
        </w:rPr>
        <w:t xml:space="preserve">FIP communication problem: </w:t>
      </w:r>
      <w:r w:rsidR="00007A98">
        <w:rPr>
          <w:kern w:val="16"/>
        </w:rPr>
        <w:t xml:space="preserve">the existing controller chip is radiation tolerant, however the high number of exposed components as well as a possible batch-to-batch variation (with a possible </w:t>
      </w:r>
      <w:r w:rsidR="00C8261E">
        <w:rPr>
          <w:kern w:val="16"/>
        </w:rPr>
        <w:t>different</w:t>
      </w:r>
      <w:r w:rsidR="00CB2A6D">
        <w:rPr>
          <w:kern w:val="16"/>
        </w:rPr>
        <w:t xml:space="preserve"> failure cross-section) le</w:t>
      </w:r>
      <w:r w:rsidR="00007A98">
        <w:rPr>
          <w:kern w:val="16"/>
        </w:rPr>
        <w:t>d to three observed failures in 2010 (two on QPS equipment, one on CRYO). It shall be noted that the same failure mode was also observed during  CNRAD tests.</w:t>
      </w:r>
    </w:p>
    <w:p w:rsidR="00007A98" w:rsidRDefault="00007A98" w:rsidP="00604F75">
      <w:pPr>
        <w:pStyle w:val="BodyTextIndent"/>
        <w:numPr>
          <w:ilvl w:val="0"/>
          <w:numId w:val="23"/>
        </w:numPr>
        <w:rPr>
          <w:kern w:val="16"/>
        </w:rPr>
      </w:pPr>
      <w:r>
        <w:rPr>
          <w:kern w:val="16"/>
        </w:rPr>
        <w:t xml:space="preserve">TE/EPC power supply: a power supply of a power converter rack situated in the UA87 close to the maze towards the TDI suffered from a burnout. The failure occurred at the same time when high injection losses at the TDI where observed. During a test at CNRAD, the same destructive failure mode </w:t>
      </w:r>
      <w:r w:rsidR="001E0867">
        <w:rPr>
          <w:kern w:val="16"/>
        </w:rPr>
        <w:t>was observed [22].</w:t>
      </w:r>
    </w:p>
    <w:p w:rsidR="00007A98" w:rsidRDefault="00007A98" w:rsidP="00007A98">
      <w:pPr>
        <w:pStyle w:val="BodyTextIndent"/>
        <w:rPr>
          <w:kern w:val="16"/>
        </w:rPr>
      </w:pPr>
    </w:p>
    <w:p w:rsidR="00007A98" w:rsidRDefault="00007A98" w:rsidP="00007A98">
      <w:pPr>
        <w:pStyle w:val="BodyTextIndent"/>
        <w:rPr>
          <w:kern w:val="16"/>
        </w:rPr>
      </w:pPr>
      <w:r>
        <w:rPr>
          <w:kern w:val="16"/>
        </w:rPr>
        <w:lastRenderedPageBreak/>
        <w:t>We can thus conclude that already a few radiation induced failures were observed, despite the relatively low radiation le</w:t>
      </w:r>
      <w:r w:rsidRPr="00007A98">
        <w:rPr>
          <w:kern w:val="16"/>
        </w:rPr>
        <w:t>vels in the machine</w:t>
      </w:r>
      <w:r>
        <w:rPr>
          <w:kern w:val="16"/>
        </w:rPr>
        <w:t xml:space="preserve">: </w:t>
      </w:r>
      <w:r w:rsidRPr="00007A98">
        <w:rPr>
          <w:kern w:val="16"/>
        </w:rPr>
        <w:t>10</w:t>
      </w:r>
      <w:r w:rsidRPr="00007A98">
        <w:rPr>
          <w:kern w:val="16"/>
          <w:vertAlign w:val="superscript"/>
        </w:rPr>
        <w:t>5</w:t>
      </w:r>
      <w:r w:rsidRPr="00007A98">
        <w:rPr>
          <w:kern w:val="16"/>
        </w:rPr>
        <w:t>-10</w:t>
      </w:r>
      <w:r>
        <w:rPr>
          <w:kern w:val="16"/>
          <w:vertAlign w:val="superscript"/>
        </w:rPr>
        <w:t>7</w:t>
      </w:r>
      <w:r w:rsidRPr="00007A98">
        <w:rPr>
          <w:kern w:val="16"/>
        </w:rPr>
        <w:t>cm</w:t>
      </w:r>
      <w:r w:rsidRPr="00007A98">
        <w:rPr>
          <w:kern w:val="16"/>
          <w:vertAlign w:val="superscript"/>
        </w:rPr>
        <w:t>-2</w:t>
      </w:r>
      <w:r>
        <w:rPr>
          <w:kern w:val="16"/>
        </w:rPr>
        <w:t xml:space="preserve"> in critical area</w:t>
      </w:r>
      <w:r w:rsidR="00CB2A6D">
        <w:rPr>
          <w:kern w:val="16"/>
        </w:rPr>
        <w:t>s</w:t>
      </w:r>
      <w:r>
        <w:rPr>
          <w:kern w:val="16"/>
        </w:rPr>
        <w:t xml:space="preserve"> </w:t>
      </w:r>
      <w:r w:rsidR="00CB2A6D">
        <w:rPr>
          <w:kern w:val="16"/>
        </w:rPr>
        <w:t>(~1</w:t>
      </w:r>
      <w:r w:rsidRPr="00007A98">
        <w:rPr>
          <w:kern w:val="16"/>
        </w:rPr>
        <w:t>0</w:t>
      </w:r>
      <w:r>
        <w:rPr>
          <w:kern w:val="16"/>
          <w:vertAlign w:val="superscript"/>
        </w:rPr>
        <w:t>8</w:t>
      </w:r>
      <w:r w:rsidRPr="00007A98">
        <w:rPr>
          <w:kern w:val="16"/>
        </w:rPr>
        <w:t>cm</w:t>
      </w:r>
      <w:r w:rsidRPr="00007A98">
        <w:rPr>
          <w:kern w:val="16"/>
          <w:vertAlign w:val="superscript"/>
        </w:rPr>
        <w:t>-2</w:t>
      </w:r>
      <w:r>
        <w:rPr>
          <w:kern w:val="16"/>
          <w:vertAlign w:val="superscript"/>
        </w:rPr>
        <w:t xml:space="preserve"> </w:t>
      </w:r>
      <w:r>
        <w:rPr>
          <w:kern w:val="16"/>
        </w:rPr>
        <w:t>in the tunnel</w:t>
      </w:r>
      <w:r w:rsidR="00CB2A6D">
        <w:rPr>
          <w:kern w:val="16"/>
        </w:rPr>
        <w:t>)</w:t>
      </w:r>
      <w:r>
        <w:rPr>
          <w:kern w:val="16"/>
        </w:rPr>
        <w:t xml:space="preserve"> where electronics is exposed. It shall be noted that </w:t>
      </w:r>
      <w:r w:rsidR="00CB2A6D">
        <w:rPr>
          <w:kern w:val="16"/>
        </w:rPr>
        <w:t>the respective LHC operation parameter correspond</w:t>
      </w:r>
      <w:r>
        <w:rPr>
          <w:kern w:val="16"/>
        </w:rPr>
        <w:t xml:space="preserve"> to o</w:t>
      </w:r>
      <w:r w:rsidRPr="00007A98">
        <w:rPr>
          <w:kern w:val="16"/>
        </w:rPr>
        <w:t xml:space="preserve">nly </w:t>
      </w:r>
      <w:r>
        <w:rPr>
          <w:kern w:val="16"/>
        </w:rPr>
        <w:t xml:space="preserve">about </w:t>
      </w:r>
      <w:r w:rsidRPr="00007A98">
        <w:rPr>
          <w:kern w:val="16"/>
        </w:rPr>
        <w:t xml:space="preserve">0.1% of nominal integrated </w:t>
      </w:r>
      <w:r w:rsidR="00CB2A6D">
        <w:rPr>
          <w:kern w:val="16"/>
        </w:rPr>
        <w:t xml:space="preserve">annual </w:t>
      </w:r>
      <w:r w:rsidRPr="00007A98">
        <w:rPr>
          <w:kern w:val="16"/>
        </w:rPr>
        <w:t>luminosit</w:t>
      </w:r>
      <w:r>
        <w:rPr>
          <w:kern w:val="16"/>
        </w:rPr>
        <w:t>y, up to 2% of peak luminosity and about 1% of nominal lost beam.</w:t>
      </w:r>
    </w:p>
    <w:p w:rsidR="00007A98" w:rsidRDefault="00007A98" w:rsidP="00007A98">
      <w:pPr>
        <w:pStyle w:val="BodyTextIndent"/>
        <w:rPr>
          <w:kern w:val="16"/>
        </w:rPr>
      </w:pPr>
    </w:p>
    <w:p w:rsidR="00007A98" w:rsidRDefault="00007A98" w:rsidP="00D25A36">
      <w:pPr>
        <w:pStyle w:val="BodyTextIndent"/>
        <w:rPr>
          <w:kern w:val="16"/>
        </w:rPr>
      </w:pPr>
      <w:r>
        <w:rPr>
          <w:kern w:val="16"/>
        </w:rPr>
        <w:t>P</w:t>
      </w:r>
      <w:r w:rsidRPr="00007A98">
        <w:rPr>
          <w:kern w:val="16"/>
        </w:rPr>
        <w:t xml:space="preserve">revisions </w:t>
      </w:r>
      <w:r>
        <w:rPr>
          <w:kern w:val="16"/>
        </w:rPr>
        <w:t xml:space="preserve">provided in 2010 </w:t>
      </w:r>
      <w:r w:rsidRPr="00007A98">
        <w:rPr>
          <w:kern w:val="16"/>
        </w:rPr>
        <w:t xml:space="preserve">expected </w:t>
      </w:r>
      <w:r>
        <w:rPr>
          <w:kern w:val="16"/>
        </w:rPr>
        <w:t>a number of radiation induced problems for the reached LH</w:t>
      </w:r>
      <w:r w:rsidR="00D25A36">
        <w:rPr>
          <w:kern w:val="16"/>
        </w:rPr>
        <w:t xml:space="preserve">C intensities and luminosities, also in critical areas. As listed before, in the LHC tunnel </w:t>
      </w:r>
      <w:r w:rsidRPr="00007A98">
        <w:rPr>
          <w:kern w:val="16"/>
        </w:rPr>
        <w:t xml:space="preserve">5-10 SEE events </w:t>
      </w:r>
      <w:r w:rsidR="00D25A36">
        <w:rPr>
          <w:kern w:val="16"/>
        </w:rPr>
        <w:t xml:space="preserve">were </w:t>
      </w:r>
      <w:r w:rsidRPr="00007A98">
        <w:rPr>
          <w:kern w:val="16"/>
        </w:rPr>
        <w:t xml:space="preserve">already </w:t>
      </w:r>
      <w:r w:rsidR="00D25A36">
        <w:rPr>
          <w:kern w:val="16"/>
        </w:rPr>
        <w:t xml:space="preserve">observed </w:t>
      </w:r>
      <w:r w:rsidRPr="00007A98">
        <w:rPr>
          <w:kern w:val="16"/>
        </w:rPr>
        <w:t xml:space="preserve">in 2010 causing </w:t>
      </w:r>
      <w:r w:rsidR="00D25A36">
        <w:rPr>
          <w:kern w:val="16"/>
        </w:rPr>
        <w:t>the stop of the accelerator and requiring an intervention (a mitigation procedure exists for the QPS problem and is currently implemented). For the shielded areas only one failure could so far be confirmed.</w:t>
      </w:r>
    </w:p>
    <w:p w:rsidR="00D25A36" w:rsidRDefault="00D25A36" w:rsidP="00D25A36">
      <w:pPr>
        <w:pStyle w:val="BodyTextIndent"/>
        <w:rPr>
          <w:kern w:val="16"/>
        </w:rPr>
      </w:pPr>
    </w:p>
    <w:p w:rsidR="00D25A36" w:rsidRDefault="00D25A36" w:rsidP="00D25A36">
      <w:pPr>
        <w:pStyle w:val="BodyTextIndent"/>
        <w:rPr>
          <w:kern w:val="16"/>
        </w:rPr>
      </w:pPr>
      <w:r>
        <w:rPr>
          <w:kern w:val="16"/>
        </w:rPr>
        <w:t>Three lessons can be learned from this:</w:t>
      </w:r>
    </w:p>
    <w:p w:rsidR="00D25A36" w:rsidRDefault="00D25A36" w:rsidP="00D25A36">
      <w:pPr>
        <w:pStyle w:val="BodyTextIndent"/>
        <w:numPr>
          <w:ilvl w:val="0"/>
          <w:numId w:val="23"/>
        </w:numPr>
        <w:rPr>
          <w:kern w:val="16"/>
        </w:rPr>
      </w:pPr>
      <w:r>
        <w:rPr>
          <w:kern w:val="16"/>
        </w:rPr>
        <w:t>it is (and remains) very difficult to identify radiation induced failures and quantify their risk as long as radiation levels are relatively low;</w:t>
      </w:r>
    </w:p>
    <w:p w:rsidR="00D25A36" w:rsidRDefault="00D25A36" w:rsidP="00D25A36">
      <w:pPr>
        <w:pStyle w:val="BodyTextIndent"/>
        <w:numPr>
          <w:ilvl w:val="0"/>
          <w:numId w:val="23"/>
        </w:numPr>
        <w:rPr>
          <w:kern w:val="16"/>
        </w:rPr>
      </w:pPr>
      <w:r>
        <w:rPr>
          <w:kern w:val="16"/>
        </w:rPr>
        <w:t xml:space="preserve">also radiation tolerant equipment has certain weaknesses and is exposed to </w:t>
      </w:r>
      <w:r w:rsidR="00CB2A6D">
        <w:rPr>
          <w:kern w:val="16"/>
        </w:rPr>
        <w:t>increasing</w:t>
      </w:r>
      <w:r>
        <w:rPr>
          <w:kern w:val="16"/>
        </w:rPr>
        <w:t xml:space="preserve"> radiation levels, thus detailed monitoring and constant analysis from all concerned equipment groups is of high importance</w:t>
      </w:r>
      <w:r w:rsidR="00080185">
        <w:rPr>
          <w:kern w:val="16"/>
        </w:rPr>
        <w:t>;</w:t>
      </w:r>
    </w:p>
    <w:p w:rsidR="00007A98" w:rsidRPr="00D25A36" w:rsidRDefault="00D25A36" w:rsidP="00D25A36">
      <w:pPr>
        <w:pStyle w:val="BodyTextIndent"/>
        <w:numPr>
          <w:ilvl w:val="0"/>
          <w:numId w:val="23"/>
        </w:numPr>
        <w:rPr>
          <w:kern w:val="16"/>
        </w:rPr>
      </w:pPr>
      <w:r>
        <w:rPr>
          <w:kern w:val="16"/>
        </w:rPr>
        <w:t>lower and higher failure rates than predicted can not be excluded as unknown equipment</w:t>
      </w:r>
      <w:r w:rsidR="00007A98" w:rsidRPr="00D25A36">
        <w:rPr>
          <w:kern w:val="16"/>
        </w:rPr>
        <w:t xml:space="preserve"> can be more </w:t>
      </w:r>
      <w:r>
        <w:rPr>
          <w:kern w:val="16"/>
        </w:rPr>
        <w:t xml:space="preserve">or less </w:t>
      </w:r>
      <w:r w:rsidR="00007A98" w:rsidRPr="00D25A36">
        <w:rPr>
          <w:kern w:val="16"/>
        </w:rPr>
        <w:t>sensitive</w:t>
      </w:r>
      <w:r w:rsidR="00CB2A6D">
        <w:rPr>
          <w:kern w:val="16"/>
        </w:rPr>
        <w:t xml:space="preserve"> (</w:t>
      </w:r>
      <w:r w:rsidR="00CB2A6D" w:rsidRPr="00CB2A6D">
        <w:rPr>
          <w:i/>
          <w:kern w:val="16"/>
        </w:rPr>
        <w:t>e.g.</w:t>
      </w:r>
      <w:r>
        <w:rPr>
          <w:kern w:val="16"/>
        </w:rPr>
        <w:t xml:space="preserve"> QPS case of the digital isolator chip ISO150), but radiation levels can also be lower or higher than expected </w:t>
      </w:r>
      <w:r w:rsidR="00007A98" w:rsidRPr="00D25A36">
        <w:rPr>
          <w:kern w:val="16"/>
        </w:rPr>
        <w:t>(</w:t>
      </w:r>
      <w:r w:rsidR="00607C67">
        <w:rPr>
          <w:i/>
          <w:kern w:val="16"/>
        </w:rPr>
        <w:t>e.g.</w:t>
      </w:r>
      <w:r w:rsidR="00007A98" w:rsidRPr="00D25A36">
        <w:rPr>
          <w:kern w:val="16"/>
        </w:rPr>
        <w:t xml:space="preserve"> electron cloud, injection losses, life-time for ions)</w:t>
      </w:r>
    </w:p>
    <w:p w:rsidR="00CC6008" w:rsidRDefault="00CC6008" w:rsidP="007F3245">
      <w:pPr>
        <w:pStyle w:val="BodyTextIndent"/>
        <w:rPr>
          <w:kern w:val="16"/>
        </w:rPr>
      </w:pPr>
    </w:p>
    <w:p w:rsidR="00D25A36" w:rsidRDefault="000150DD" w:rsidP="007F3245">
      <w:pPr>
        <w:pStyle w:val="BodyTextIndent"/>
        <w:rPr>
          <w:kern w:val="16"/>
        </w:rPr>
      </w:pPr>
      <w:r>
        <w:rPr>
          <w:kern w:val="16"/>
        </w:rPr>
        <w:t>S</w:t>
      </w:r>
      <w:r w:rsidR="00080185">
        <w:rPr>
          <w:kern w:val="16"/>
        </w:rPr>
        <w:t>trong team efforts are required</w:t>
      </w:r>
      <w:r>
        <w:rPr>
          <w:kern w:val="16"/>
        </w:rPr>
        <w:t xml:space="preserve"> from all equipment groups and the RadWG</w:t>
      </w:r>
      <w:r w:rsidR="00080185">
        <w:rPr>
          <w:kern w:val="16"/>
        </w:rPr>
        <w:t>, a</w:t>
      </w:r>
      <w:r w:rsidR="00D25A36">
        <w:rPr>
          <w:kern w:val="16"/>
        </w:rPr>
        <w:t>s no big saf</w:t>
      </w:r>
      <w:r w:rsidR="00080185">
        <w:rPr>
          <w:kern w:val="16"/>
        </w:rPr>
        <w:t xml:space="preserve">ety margins can be taken for the R2E mitigation project and all activities have to be strongly optimized with respect to LHC operation and shutdown planning, </w:t>
      </w:r>
      <w:r w:rsidR="00CB2A6D">
        <w:rPr>
          <w:kern w:val="16"/>
        </w:rPr>
        <w:t xml:space="preserve">considering </w:t>
      </w:r>
      <w:r w:rsidR="00080185">
        <w:rPr>
          <w:kern w:val="16"/>
        </w:rPr>
        <w:t xml:space="preserve">the impact on </w:t>
      </w:r>
      <w:r w:rsidR="00CB2A6D">
        <w:rPr>
          <w:kern w:val="16"/>
        </w:rPr>
        <w:t xml:space="preserve">installed </w:t>
      </w:r>
      <w:r w:rsidR="00080185">
        <w:rPr>
          <w:kern w:val="16"/>
        </w:rPr>
        <w:t>equipment</w:t>
      </w:r>
      <w:r w:rsidR="00CB2A6D">
        <w:rPr>
          <w:kern w:val="16"/>
        </w:rPr>
        <w:t xml:space="preserve">, </w:t>
      </w:r>
      <w:r w:rsidR="00080185">
        <w:rPr>
          <w:kern w:val="16"/>
        </w:rPr>
        <w:t>LHC performance and final costs.</w:t>
      </w:r>
    </w:p>
    <w:p w:rsidR="007F3245" w:rsidRDefault="007F3245" w:rsidP="007F3245">
      <w:pPr>
        <w:pStyle w:val="Heading2"/>
        <w:spacing w:before="180"/>
      </w:pPr>
      <w:r>
        <w:t>failure Rate Prediction and discussion</w:t>
      </w:r>
      <w:r w:rsidR="002260F1">
        <w:t xml:space="preserve"> on 2011/2012 operation</w:t>
      </w:r>
    </w:p>
    <w:p w:rsidR="007F3245" w:rsidRDefault="006C7938" w:rsidP="007F3245">
      <w:pPr>
        <w:pStyle w:val="BodyTextIndent"/>
        <w:rPr>
          <w:kern w:val="16"/>
        </w:rPr>
      </w:pPr>
      <w:r>
        <w:rPr>
          <w:kern w:val="16"/>
        </w:rPr>
        <w:t>Based on the before presented results of radiation tests and obtained failure cross sections, as well as the expected radiation levels for LHC critical areas during 2011/2012 but also nominal and ultimate intensities, in the following we try to deduce a global radiation induced failure rate for the LHC.</w:t>
      </w:r>
      <w:r w:rsidR="00FA0796">
        <w:rPr>
          <w:kern w:val="16"/>
        </w:rPr>
        <w:t xml:space="preserve"> While performed benchmark experiments and early measurements during 2010 operation have shown that the radiation levels can be predicted with sufficient accuracy, </w:t>
      </w:r>
      <w:r w:rsidR="000C145B">
        <w:rPr>
          <w:kern w:val="16"/>
        </w:rPr>
        <w:t xml:space="preserve">it is important to bear in mind that </w:t>
      </w:r>
      <w:r w:rsidR="00FA0796">
        <w:rPr>
          <w:kern w:val="16"/>
        </w:rPr>
        <w:t>strong uncertainties s</w:t>
      </w:r>
      <w:r w:rsidR="00DA4CBD">
        <w:rPr>
          <w:kern w:val="16"/>
        </w:rPr>
        <w:t>t</w:t>
      </w:r>
      <w:r w:rsidR="00FA0796">
        <w:rPr>
          <w:kern w:val="16"/>
        </w:rPr>
        <w:t>ill remain on both, the actual sensitivity of the COTS equipment, as well as the operational behaviour of the accelerator (especially at high-loss locations or during the scrubbing period).</w:t>
      </w:r>
      <w:r w:rsidR="000C145B">
        <w:rPr>
          <w:kern w:val="16"/>
        </w:rPr>
        <w:t xml:space="preserve"> The following estimate is thus intended to illustrate the order </w:t>
      </w:r>
      <w:r w:rsidR="000C145B">
        <w:rPr>
          <w:kern w:val="16"/>
        </w:rPr>
        <w:lastRenderedPageBreak/>
        <w:t xml:space="preserve">of magnitude, but not the detailed number of failures </w:t>
      </w:r>
      <w:r w:rsidR="000150DD">
        <w:rPr>
          <w:kern w:val="16"/>
        </w:rPr>
        <w:t>to</w:t>
      </w:r>
      <w:r w:rsidR="000C145B">
        <w:rPr>
          <w:kern w:val="16"/>
        </w:rPr>
        <w:t xml:space="preserve"> the last digit.</w:t>
      </w:r>
    </w:p>
    <w:p w:rsidR="00E4509A" w:rsidRDefault="00E4509A" w:rsidP="007F3245">
      <w:pPr>
        <w:pStyle w:val="BodyTextIndent"/>
        <w:rPr>
          <w:kern w:val="16"/>
        </w:rPr>
      </w:pPr>
    </w:p>
    <w:p w:rsidR="00E4509A" w:rsidRDefault="00E4509A" w:rsidP="007F3245">
      <w:pPr>
        <w:pStyle w:val="BodyTextIndent"/>
        <w:rPr>
          <w:kern w:val="16"/>
        </w:rPr>
      </w:pPr>
      <w:r>
        <w:rPr>
          <w:kern w:val="16"/>
        </w:rPr>
        <w:t xml:space="preserve">Based on the performed equipment inventories [2-5] and in iteration with the respective </w:t>
      </w:r>
      <w:r w:rsidR="00CB2A6D">
        <w:rPr>
          <w:kern w:val="16"/>
        </w:rPr>
        <w:t xml:space="preserve">equipment </w:t>
      </w:r>
      <w:r>
        <w:rPr>
          <w:kern w:val="16"/>
        </w:rPr>
        <w:t>responsible, the following four general failure categories were identified and included in the analysis process:</w:t>
      </w:r>
    </w:p>
    <w:p w:rsidR="00E4509A" w:rsidRDefault="00E4509A" w:rsidP="00E4509A">
      <w:pPr>
        <w:pStyle w:val="BodyTextIndent"/>
        <w:numPr>
          <w:ilvl w:val="0"/>
          <w:numId w:val="27"/>
        </w:numPr>
        <w:rPr>
          <w:kern w:val="16"/>
        </w:rPr>
      </w:pPr>
      <w:r>
        <w:rPr>
          <w:kern w:val="16"/>
        </w:rPr>
        <w:t xml:space="preserve">a failure leading to a dump of the </w:t>
      </w:r>
      <w:r w:rsidR="00DA4CBD">
        <w:rPr>
          <w:kern w:val="16"/>
        </w:rPr>
        <w:t>beam</w:t>
      </w:r>
      <w:r>
        <w:rPr>
          <w:kern w:val="16"/>
        </w:rPr>
        <w:t xml:space="preserve"> and requiring access prior restart of the machine</w:t>
      </w:r>
    </w:p>
    <w:p w:rsidR="00E4509A" w:rsidRDefault="00E4509A" w:rsidP="00E4509A">
      <w:pPr>
        <w:pStyle w:val="BodyTextIndent"/>
        <w:numPr>
          <w:ilvl w:val="0"/>
          <w:numId w:val="27"/>
        </w:numPr>
        <w:rPr>
          <w:kern w:val="16"/>
        </w:rPr>
      </w:pPr>
      <w:r>
        <w:rPr>
          <w:kern w:val="16"/>
        </w:rPr>
        <w:t>as (a) but not requiring immediate access</w:t>
      </w:r>
    </w:p>
    <w:p w:rsidR="00E4509A" w:rsidRDefault="00E4509A" w:rsidP="00E4509A">
      <w:pPr>
        <w:pStyle w:val="BodyTextIndent"/>
        <w:numPr>
          <w:ilvl w:val="0"/>
          <w:numId w:val="27"/>
        </w:numPr>
        <w:rPr>
          <w:kern w:val="16"/>
        </w:rPr>
      </w:pPr>
      <w:r>
        <w:rPr>
          <w:kern w:val="16"/>
        </w:rPr>
        <w:t>a failure requiring an access which can be scheduled in the next technical stop or other access</w:t>
      </w:r>
    </w:p>
    <w:p w:rsidR="00E4509A" w:rsidRDefault="00E4509A" w:rsidP="00E4509A">
      <w:pPr>
        <w:pStyle w:val="BodyTextIndent"/>
        <w:numPr>
          <w:ilvl w:val="0"/>
          <w:numId w:val="27"/>
        </w:numPr>
        <w:rPr>
          <w:kern w:val="16"/>
        </w:rPr>
      </w:pPr>
      <w:r>
        <w:rPr>
          <w:kern w:val="16"/>
        </w:rPr>
        <w:t>other failures</w:t>
      </w:r>
    </w:p>
    <w:p w:rsidR="00E4509A" w:rsidRDefault="00E4509A" w:rsidP="007F3245">
      <w:pPr>
        <w:pStyle w:val="BodyTextIndent"/>
        <w:rPr>
          <w:kern w:val="16"/>
        </w:rPr>
      </w:pPr>
    </w:p>
    <w:p w:rsidR="00E4509A" w:rsidRDefault="00E4509A" w:rsidP="007F3245">
      <w:pPr>
        <w:pStyle w:val="BodyTextIndent"/>
        <w:rPr>
          <w:kern w:val="16"/>
        </w:rPr>
      </w:pPr>
      <w:r>
        <w:rPr>
          <w:kern w:val="16"/>
        </w:rPr>
        <w:t xml:space="preserve">Furthermore, the following procedure has been applied to determine </w:t>
      </w:r>
      <w:r w:rsidR="00CB2A6D">
        <w:rPr>
          <w:kern w:val="16"/>
        </w:rPr>
        <w:t>the</w:t>
      </w:r>
      <w:r>
        <w:rPr>
          <w:kern w:val="16"/>
        </w:rPr>
        <w:t xml:space="preserve"> best possible estimate of the collective number of failures for the coming years</w:t>
      </w:r>
      <w:r w:rsidR="00CB2A6D">
        <w:rPr>
          <w:kern w:val="16"/>
        </w:rPr>
        <w:t xml:space="preserve"> of LHC operation</w:t>
      </w:r>
      <w:r>
        <w:rPr>
          <w:kern w:val="16"/>
        </w:rPr>
        <w:t>:</w:t>
      </w:r>
    </w:p>
    <w:p w:rsidR="00E4509A" w:rsidRDefault="00372E1B" w:rsidP="00E4509A">
      <w:pPr>
        <w:pStyle w:val="BodyTextIndent"/>
        <w:numPr>
          <w:ilvl w:val="0"/>
          <w:numId w:val="23"/>
        </w:numPr>
        <w:rPr>
          <w:kern w:val="16"/>
        </w:rPr>
      </w:pPr>
      <w:r>
        <w:rPr>
          <w:kern w:val="16"/>
        </w:rPr>
        <w:t>B</w:t>
      </w:r>
      <w:r w:rsidR="00F73F47">
        <w:rPr>
          <w:kern w:val="16"/>
        </w:rPr>
        <w:t>ased on the measured radiation levels in the various critical areas, the expected radiation levels were revised and updated as much as possible</w:t>
      </w:r>
      <w:r w:rsidR="00CB2A6D">
        <w:rPr>
          <w:kern w:val="16"/>
        </w:rPr>
        <w:t xml:space="preserve"> (see previous chapter).</w:t>
      </w:r>
    </w:p>
    <w:p w:rsidR="00F73F47" w:rsidRDefault="00372E1B" w:rsidP="00E4509A">
      <w:pPr>
        <w:pStyle w:val="BodyTextIndent"/>
        <w:numPr>
          <w:ilvl w:val="0"/>
          <w:numId w:val="23"/>
        </w:numPr>
        <w:rPr>
          <w:kern w:val="16"/>
        </w:rPr>
      </w:pPr>
      <w:r>
        <w:rPr>
          <w:kern w:val="16"/>
        </w:rPr>
        <w:t>W</w:t>
      </w:r>
      <w:r w:rsidR="00F73F47">
        <w:rPr>
          <w:kern w:val="16"/>
        </w:rPr>
        <w:t>herever possible, equipment failure cross sections are based on measurements and the same are applied to similar equipments</w:t>
      </w:r>
      <w:r w:rsidR="00CB2A6D">
        <w:rPr>
          <w:kern w:val="16"/>
        </w:rPr>
        <w:t xml:space="preserve"> in case their sensitivity is unknown</w:t>
      </w:r>
      <w:r>
        <w:rPr>
          <w:kern w:val="16"/>
        </w:rPr>
        <w:t>.</w:t>
      </w:r>
      <w:r w:rsidR="00F73F47">
        <w:rPr>
          <w:kern w:val="16"/>
        </w:rPr>
        <w:t xml:space="preserve"> </w:t>
      </w:r>
    </w:p>
    <w:p w:rsidR="00F73F47" w:rsidRDefault="00372E1B" w:rsidP="00E4509A">
      <w:pPr>
        <w:pStyle w:val="BodyTextIndent"/>
        <w:numPr>
          <w:ilvl w:val="0"/>
          <w:numId w:val="23"/>
        </w:numPr>
        <w:rPr>
          <w:kern w:val="16"/>
        </w:rPr>
      </w:pPr>
      <w:r>
        <w:rPr>
          <w:kern w:val="16"/>
        </w:rPr>
        <w:t>F</w:t>
      </w:r>
      <w:r w:rsidR="00F73F47">
        <w:rPr>
          <w:kern w:val="16"/>
        </w:rPr>
        <w:t>or complex equipment like power-converters the expected failure cross-sections are based on the feedback as provided by the power-converter review [23]</w:t>
      </w:r>
      <w:r>
        <w:rPr>
          <w:kern w:val="16"/>
        </w:rPr>
        <w:t>.</w:t>
      </w:r>
    </w:p>
    <w:p w:rsidR="00F73F47" w:rsidRDefault="00372E1B" w:rsidP="00E4509A">
      <w:pPr>
        <w:pStyle w:val="BodyTextIndent"/>
        <w:numPr>
          <w:ilvl w:val="0"/>
          <w:numId w:val="23"/>
        </w:numPr>
        <w:rPr>
          <w:kern w:val="16"/>
        </w:rPr>
      </w:pPr>
      <w:r>
        <w:rPr>
          <w:kern w:val="16"/>
        </w:rPr>
        <w:t>F</w:t>
      </w:r>
      <w:r w:rsidR="00F73F47">
        <w:rPr>
          <w:kern w:val="16"/>
        </w:rPr>
        <w:t>or unknown components a “guessed” failure cross-section is applied according to the complexity of the device and ranges from 10</w:t>
      </w:r>
      <w:r w:rsidR="00F73F47" w:rsidRPr="00F73F47">
        <w:rPr>
          <w:kern w:val="16"/>
          <w:vertAlign w:val="superscript"/>
        </w:rPr>
        <w:t>-7</w:t>
      </w:r>
      <w:r w:rsidR="00F73F47">
        <w:rPr>
          <w:kern w:val="16"/>
        </w:rPr>
        <w:t>cm</w:t>
      </w:r>
      <w:r w:rsidR="00F73F47" w:rsidRPr="00F73F47">
        <w:rPr>
          <w:kern w:val="16"/>
          <w:vertAlign w:val="superscript"/>
        </w:rPr>
        <w:t>2</w:t>
      </w:r>
      <w:r w:rsidR="00F73F47">
        <w:rPr>
          <w:kern w:val="16"/>
        </w:rPr>
        <w:t xml:space="preserve"> to 10</w:t>
      </w:r>
      <w:r w:rsidR="00F73F47" w:rsidRPr="00F73F47">
        <w:rPr>
          <w:kern w:val="16"/>
          <w:vertAlign w:val="superscript"/>
        </w:rPr>
        <w:t>-9</w:t>
      </w:r>
      <w:r w:rsidR="00F73F47">
        <w:rPr>
          <w:kern w:val="16"/>
        </w:rPr>
        <w:t>cm</w:t>
      </w:r>
      <w:r w:rsidR="00F73F47" w:rsidRPr="00F73F47">
        <w:rPr>
          <w:kern w:val="16"/>
          <w:vertAlign w:val="superscript"/>
        </w:rPr>
        <w:t>2</w:t>
      </w:r>
      <w:r>
        <w:rPr>
          <w:kern w:val="16"/>
        </w:rPr>
        <w:t>.</w:t>
      </w:r>
    </w:p>
    <w:p w:rsidR="00F73F47" w:rsidRDefault="00372E1B" w:rsidP="00E4509A">
      <w:pPr>
        <w:pStyle w:val="BodyTextIndent"/>
        <w:numPr>
          <w:ilvl w:val="0"/>
          <w:numId w:val="23"/>
        </w:numPr>
        <w:rPr>
          <w:kern w:val="16"/>
        </w:rPr>
      </w:pPr>
      <w:r>
        <w:rPr>
          <w:kern w:val="16"/>
        </w:rPr>
        <w:t>An intermediate iteration used the 2010 measured and calculated radiation levels and the respective cross sections to deduce a first collective number of failures. This resulted in a higher number of failures as actually observed during the 2010 operation period (see previous chapter), thus the “guessed” failure cross sections were down-scaled accordingly to match the observed n</w:t>
      </w:r>
      <w:r w:rsidR="00D6446B">
        <w:rPr>
          <w:kern w:val="16"/>
        </w:rPr>
        <w:t>umber of failures in critical a</w:t>
      </w:r>
      <w:r>
        <w:rPr>
          <w:kern w:val="16"/>
        </w:rPr>
        <w:t>r</w:t>
      </w:r>
      <w:r w:rsidR="00D6446B">
        <w:rPr>
          <w:kern w:val="16"/>
        </w:rPr>
        <w:t>e</w:t>
      </w:r>
      <w:r>
        <w:rPr>
          <w:kern w:val="16"/>
        </w:rPr>
        <w:t>as.</w:t>
      </w:r>
    </w:p>
    <w:p w:rsidR="00372E1B" w:rsidRDefault="00D6446B" w:rsidP="00E4509A">
      <w:pPr>
        <w:pStyle w:val="BodyTextIndent"/>
        <w:numPr>
          <w:ilvl w:val="0"/>
          <w:numId w:val="23"/>
        </w:numPr>
        <w:rPr>
          <w:kern w:val="16"/>
        </w:rPr>
      </w:pPr>
      <w:r>
        <w:rPr>
          <w:kern w:val="16"/>
        </w:rPr>
        <w:t>The next step is to scale the expected radiation field with the operational parameters for 2011, 2012, nominal and ultimate LHC operation. During this conference and update was provided for 2011 and 2012 [24], with nominal and ultimate conditions remaining unchanged from the original design values [25], leading to the annual radiation levels as listed for a few representative critical areas in Table 9.</w:t>
      </w:r>
    </w:p>
    <w:p w:rsidR="00D6446B" w:rsidRDefault="00D6446B" w:rsidP="00E4509A">
      <w:pPr>
        <w:pStyle w:val="BodyTextIndent"/>
        <w:numPr>
          <w:ilvl w:val="0"/>
          <w:numId w:val="23"/>
        </w:numPr>
        <w:rPr>
          <w:kern w:val="16"/>
        </w:rPr>
      </w:pPr>
      <w:proofErr w:type="gramStart"/>
      <w:r>
        <w:rPr>
          <w:kern w:val="16"/>
        </w:rPr>
        <w:t xml:space="preserve">A last </w:t>
      </w:r>
      <w:r w:rsidR="00106503">
        <w:rPr>
          <w:kern w:val="16"/>
        </w:rPr>
        <w:t>step</w:t>
      </w:r>
      <w:r>
        <w:rPr>
          <w:kern w:val="16"/>
        </w:rPr>
        <w:t xml:space="preserve"> then </w:t>
      </w:r>
      <w:r w:rsidR="00CB2A6D">
        <w:rPr>
          <w:kern w:val="16"/>
        </w:rPr>
        <w:t>considers</w:t>
      </w:r>
      <w:r>
        <w:rPr>
          <w:kern w:val="16"/>
        </w:rPr>
        <w:t xml:space="preserve"> the </w:t>
      </w:r>
      <w:r w:rsidR="00CB2A6D">
        <w:rPr>
          <w:kern w:val="16"/>
        </w:rPr>
        <w:t xml:space="preserve">total </w:t>
      </w:r>
      <w:r>
        <w:rPr>
          <w:kern w:val="16"/>
        </w:rPr>
        <w:t xml:space="preserve">number of components/systems per area and </w:t>
      </w:r>
      <w:r w:rsidR="00CB2A6D">
        <w:rPr>
          <w:kern w:val="16"/>
        </w:rPr>
        <w:t>for each equipment type</w:t>
      </w:r>
      <w:proofErr w:type="gramEnd"/>
      <w:r w:rsidR="00CB2A6D">
        <w:rPr>
          <w:kern w:val="16"/>
        </w:rPr>
        <w:t xml:space="preserve"> </w:t>
      </w:r>
      <w:r>
        <w:rPr>
          <w:kern w:val="16"/>
        </w:rPr>
        <w:t xml:space="preserve">their failure cross section and the expected radiation level to calculate the number of annual failures for the respective equipment. Grouping these failures by the four general failure modes (a-d) allows providing an estimate of the </w:t>
      </w:r>
      <w:r>
        <w:rPr>
          <w:kern w:val="16"/>
        </w:rPr>
        <w:lastRenderedPageBreak/>
        <w:t>total number of annual failures of all equipment being installed around LHC critical areas.</w:t>
      </w:r>
    </w:p>
    <w:p w:rsidR="00607C67" w:rsidRDefault="00607C67" w:rsidP="00D6446B">
      <w:pPr>
        <w:pStyle w:val="BodyTextIndent"/>
        <w:rPr>
          <w:kern w:val="16"/>
        </w:rPr>
      </w:pPr>
    </w:p>
    <w:p w:rsidR="00D6446B" w:rsidRDefault="00D6446B" w:rsidP="00D6446B">
      <w:pPr>
        <w:pStyle w:val="BodyTextIndent"/>
        <w:rPr>
          <w:kern w:val="16"/>
        </w:rPr>
      </w:pPr>
      <w:r>
        <w:rPr>
          <w:kern w:val="16"/>
        </w:rPr>
        <w:t>Table 10 summarizes the obtained annual number of failures for the respective failure types and expresses them as mean-time between failures</w:t>
      </w:r>
      <w:r w:rsidR="000034E3">
        <w:rPr>
          <w:kern w:val="16"/>
        </w:rPr>
        <w:t xml:space="preserve"> (MTBF)</w:t>
      </w:r>
      <w:r w:rsidR="00106503">
        <w:rPr>
          <w:kern w:val="16"/>
        </w:rPr>
        <w:t>.</w:t>
      </w:r>
      <w:r>
        <w:rPr>
          <w:kern w:val="16"/>
        </w:rPr>
        <w:t xml:space="preserve"> </w:t>
      </w:r>
    </w:p>
    <w:p w:rsidR="000C145B" w:rsidRDefault="000C145B" w:rsidP="007F3245">
      <w:pPr>
        <w:pStyle w:val="BodyTextIndent"/>
        <w:rPr>
          <w:kern w:val="16"/>
        </w:rPr>
      </w:pPr>
    </w:p>
    <w:p w:rsidR="00106503" w:rsidRPr="008F0ED6" w:rsidRDefault="00106503" w:rsidP="00180040">
      <w:pPr>
        <w:pStyle w:val="TableCaption0"/>
        <w:jc w:val="both"/>
        <w:rPr>
          <w:kern w:val="16"/>
        </w:rPr>
      </w:pPr>
      <w:r>
        <w:rPr>
          <w:kern w:val="16"/>
        </w:rPr>
        <w:t xml:space="preserve">Table 10: Predicted </w:t>
      </w:r>
      <w:r w:rsidR="00DA4CBD">
        <w:rPr>
          <w:kern w:val="16"/>
        </w:rPr>
        <w:t xml:space="preserve">MTBF due to radiation induced problems in LHC electronics for the coming years of LHC operation. Levels lower than one failure per day </w:t>
      </w:r>
      <w:proofErr w:type="gramStart"/>
      <w:r w:rsidR="00DA4CBD">
        <w:rPr>
          <w:kern w:val="16"/>
        </w:rPr>
        <w:t>are</w:t>
      </w:r>
      <w:proofErr w:type="gramEnd"/>
      <w:r w:rsidR="00DA4CBD">
        <w:rPr>
          <w:kern w:val="16"/>
        </w:rPr>
        <w:t xml:space="preserve"> not realistically reachable due to machine turn-around, however listed as theoretical failure rates only. </w:t>
      </w:r>
    </w:p>
    <w:tbl>
      <w:tblPr>
        <w:tblStyle w:val="TableSimple1"/>
        <w:tblW w:w="4820" w:type="dxa"/>
        <w:tblInd w:w="108" w:type="dxa"/>
        <w:tblLayout w:type="fixed"/>
        <w:tblCellMar>
          <w:left w:w="0" w:type="dxa"/>
          <w:right w:w="0" w:type="dxa"/>
        </w:tblCellMar>
        <w:tblLook w:val="00A0"/>
      </w:tblPr>
      <w:tblGrid>
        <w:gridCol w:w="966"/>
        <w:gridCol w:w="980"/>
        <w:gridCol w:w="934"/>
        <w:gridCol w:w="963"/>
        <w:gridCol w:w="977"/>
      </w:tblGrid>
      <w:tr w:rsidR="00106503" w:rsidRPr="00A65CFF" w:rsidTr="00106503">
        <w:trPr>
          <w:cnfStyle w:val="100000000000"/>
          <w:trHeight w:val="180"/>
        </w:trPr>
        <w:tc>
          <w:tcPr>
            <w:tcW w:w="966" w:type="dxa"/>
            <w:tcBorders>
              <w:top w:val="single" w:sz="8" w:space="0" w:color="auto"/>
              <w:bottom w:val="single" w:sz="4" w:space="0" w:color="auto"/>
            </w:tcBorders>
            <w:vAlign w:val="center"/>
          </w:tcPr>
          <w:p w:rsidR="00106503" w:rsidRPr="00106503" w:rsidRDefault="00106503" w:rsidP="00180040">
            <w:pPr>
              <w:pStyle w:val="BodyText"/>
              <w:spacing w:beforeLines="60" w:line="220" w:lineRule="exact"/>
              <w:jc w:val="center"/>
              <w:rPr>
                <w:rFonts w:ascii="Times New Roman" w:eastAsia="MS Mincho" w:hAnsi="Times New Roman"/>
                <w:bCs/>
                <w:sz w:val="22"/>
                <w:szCs w:val="22"/>
                <w:lang w:eastAsia="ja-JP"/>
              </w:rPr>
            </w:pPr>
            <w:r w:rsidRPr="00106503">
              <w:rPr>
                <w:rFonts w:ascii="Times New Roman" w:hAnsi="Times New Roman"/>
                <w:b/>
                <w:sz w:val="22"/>
                <w:szCs w:val="22"/>
              </w:rPr>
              <w:t>Failure Mode</w:t>
            </w:r>
          </w:p>
        </w:tc>
        <w:tc>
          <w:tcPr>
            <w:tcW w:w="980" w:type="dxa"/>
            <w:tcBorders>
              <w:top w:val="single" w:sz="8" w:space="0" w:color="auto"/>
              <w:bottom w:val="single" w:sz="4" w:space="0" w:color="auto"/>
            </w:tcBorders>
            <w:vAlign w:val="center"/>
          </w:tcPr>
          <w:p w:rsidR="00106503" w:rsidRPr="00106503" w:rsidRDefault="00106503" w:rsidP="00180040">
            <w:pPr>
              <w:spacing w:beforeLines="60"/>
              <w:jc w:val="center"/>
              <w:rPr>
                <w:rFonts w:ascii="Times New Roman" w:hAnsi="Times New Roman"/>
                <w:b/>
                <w:sz w:val="22"/>
                <w:szCs w:val="22"/>
                <w:lang w:eastAsia="en-GB"/>
              </w:rPr>
            </w:pPr>
            <w:r w:rsidRPr="00106503">
              <w:rPr>
                <w:rFonts w:ascii="Times New Roman" w:hAnsi="Times New Roman"/>
                <w:b/>
                <w:sz w:val="22"/>
                <w:szCs w:val="22"/>
                <w:lang w:eastAsia="en-GB"/>
              </w:rPr>
              <w:t>2011</w:t>
            </w:r>
            <w:r w:rsidRPr="00106503">
              <w:rPr>
                <w:rFonts w:ascii="Times New Roman" w:hAnsi="Times New Roman"/>
                <w:b/>
                <w:sz w:val="22"/>
                <w:szCs w:val="22"/>
                <w:lang w:eastAsia="en-GB"/>
              </w:rPr>
              <w:br/>
              <w:t>[days]</w:t>
            </w:r>
          </w:p>
        </w:tc>
        <w:tc>
          <w:tcPr>
            <w:tcW w:w="934" w:type="dxa"/>
            <w:tcBorders>
              <w:top w:val="single" w:sz="8" w:space="0" w:color="auto"/>
              <w:bottom w:val="single" w:sz="4" w:space="0" w:color="auto"/>
            </w:tcBorders>
            <w:vAlign w:val="center"/>
          </w:tcPr>
          <w:p w:rsidR="00106503" w:rsidRPr="00106503" w:rsidRDefault="00106503" w:rsidP="00180040">
            <w:pPr>
              <w:pStyle w:val="BodyTextIndent"/>
              <w:spacing w:beforeLines="60"/>
              <w:ind w:firstLine="0"/>
              <w:jc w:val="center"/>
              <w:rPr>
                <w:b/>
                <w:sz w:val="22"/>
                <w:szCs w:val="22"/>
                <w:lang w:val="de-CH"/>
              </w:rPr>
            </w:pPr>
            <w:r w:rsidRPr="00106503">
              <w:rPr>
                <w:b/>
                <w:sz w:val="22"/>
                <w:szCs w:val="22"/>
                <w:lang w:val="de-CH" w:eastAsia="en-GB"/>
              </w:rPr>
              <w:t>2012</w:t>
            </w:r>
            <w:r w:rsidRPr="00106503">
              <w:rPr>
                <w:b/>
                <w:sz w:val="22"/>
                <w:szCs w:val="22"/>
                <w:lang w:val="de-CH" w:eastAsia="en-GB"/>
              </w:rPr>
              <w:br/>
              <w:t>[</w:t>
            </w:r>
            <w:r w:rsidRPr="00106503">
              <w:rPr>
                <w:b/>
                <w:sz w:val="22"/>
                <w:szCs w:val="22"/>
                <w:lang w:eastAsia="en-GB"/>
              </w:rPr>
              <w:t>days</w:t>
            </w:r>
            <w:r w:rsidRPr="00106503">
              <w:rPr>
                <w:b/>
                <w:sz w:val="22"/>
                <w:szCs w:val="22"/>
                <w:lang w:val="de-CH" w:eastAsia="en-GB"/>
              </w:rPr>
              <w:t>]</w:t>
            </w:r>
          </w:p>
        </w:tc>
        <w:tc>
          <w:tcPr>
            <w:tcW w:w="963" w:type="dxa"/>
            <w:tcBorders>
              <w:top w:val="single" w:sz="8" w:space="0" w:color="auto"/>
              <w:bottom w:val="single" w:sz="4" w:space="0" w:color="auto"/>
            </w:tcBorders>
            <w:vAlign w:val="center"/>
          </w:tcPr>
          <w:p w:rsidR="00106503" w:rsidRPr="00106503" w:rsidRDefault="00106503" w:rsidP="00180040">
            <w:pPr>
              <w:pStyle w:val="BodyTextIndent"/>
              <w:spacing w:beforeLines="60"/>
              <w:ind w:firstLine="0"/>
              <w:jc w:val="center"/>
              <w:rPr>
                <w:b/>
                <w:sz w:val="22"/>
                <w:szCs w:val="22"/>
                <w:lang w:val="de-CH"/>
              </w:rPr>
            </w:pPr>
            <w:r w:rsidRPr="00106503">
              <w:rPr>
                <w:b/>
                <w:sz w:val="22"/>
                <w:szCs w:val="22"/>
                <w:lang w:val="de-CH" w:eastAsia="en-GB"/>
              </w:rPr>
              <w:t>Nominal</w:t>
            </w:r>
            <w:r w:rsidRPr="00106503">
              <w:rPr>
                <w:b/>
                <w:sz w:val="22"/>
                <w:szCs w:val="22"/>
                <w:lang w:val="de-CH" w:eastAsia="en-GB"/>
              </w:rPr>
              <w:br/>
              <w:t>[</w:t>
            </w:r>
            <w:r w:rsidRPr="00106503">
              <w:rPr>
                <w:b/>
                <w:sz w:val="22"/>
                <w:szCs w:val="22"/>
                <w:lang w:eastAsia="en-GB"/>
              </w:rPr>
              <w:t>days</w:t>
            </w:r>
            <w:r w:rsidRPr="00106503">
              <w:rPr>
                <w:b/>
                <w:sz w:val="22"/>
                <w:szCs w:val="22"/>
                <w:lang w:val="de-CH" w:eastAsia="en-GB"/>
              </w:rPr>
              <w:t>]</w:t>
            </w:r>
          </w:p>
        </w:tc>
        <w:tc>
          <w:tcPr>
            <w:tcW w:w="977" w:type="dxa"/>
            <w:tcBorders>
              <w:top w:val="single" w:sz="8" w:space="0" w:color="auto"/>
              <w:bottom w:val="single" w:sz="4" w:space="0" w:color="auto"/>
            </w:tcBorders>
            <w:vAlign w:val="center"/>
          </w:tcPr>
          <w:p w:rsidR="00106503" w:rsidRPr="00106503" w:rsidRDefault="00106503" w:rsidP="00180040">
            <w:pPr>
              <w:pStyle w:val="BodyTextIndent"/>
              <w:spacing w:beforeLines="60"/>
              <w:ind w:firstLine="0"/>
              <w:jc w:val="center"/>
              <w:rPr>
                <w:b/>
                <w:sz w:val="22"/>
                <w:szCs w:val="22"/>
                <w:lang w:val="de-CH" w:eastAsia="en-GB"/>
              </w:rPr>
            </w:pPr>
            <w:r w:rsidRPr="00106503">
              <w:rPr>
                <w:b/>
                <w:sz w:val="22"/>
                <w:szCs w:val="22"/>
                <w:lang w:val="de-CH" w:eastAsia="en-GB"/>
              </w:rPr>
              <w:t>Ultimate</w:t>
            </w:r>
            <w:r w:rsidRPr="00106503">
              <w:rPr>
                <w:b/>
                <w:sz w:val="22"/>
                <w:szCs w:val="22"/>
                <w:lang w:val="de-CH" w:eastAsia="en-GB"/>
              </w:rPr>
              <w:br/>
              <w:t>[</w:t>
            </w:r>
            <w:r w:rsidRPr="00106503">
              <w:rPr>
                <w:b/>
                <w:sz w:val="22"/>
                <w:szCs w:val="22"/>
                <w:lang w:eastAsia="en-GB"/>
              </w:rPr>
              <w:t>days</w:t>
            </w:r>
            <w:r w:rsidRPr="00106503">
              <w:rPr>
                <w:b/>
                <w:sz w:val="22"/>
                <w:szCs w:val="22"/>
                <w:lang w:val="de-CH" w:eastAsia="en-GB"/>
              </w:rPr>
              <w:t>]</w:t>
            </w:r>
          </w:p>
        </w:tc>
      </w:tr>
      <w:tr w:rsidR="00106503" w:rsidRPr="00A65CFF" w:rsidTr="00106503">
        <w:tc>
          <w:tcPr>
            <w:tcW w:w="966" w:type="dxa"/>
            <w:tcBorders>
              <w:top w:val="single" w:sz="4" w:space="0" w:color="auto"/>
              <w:bottom w:val="single" w:sz="8" w:space="0" w:color="auto"/>
            </w:tcBorders>
            <w:vAlign w:val="bottom"/>
          </w:tcPr>
          <w:p w:rsidR="00106503" w:rsidRPr="00106503" w:rsidRDefault="00106503" w:rsidP="00943F9D">
            <w:pPr>
              <w:jc w:val="center"/>
              <w:rPr>
                <w:rFonts w:ascii="Times New Roman" w:hAnsi="Times New Roman"/>
                <w:b/>
                <w:color w:val="000000"/>
                <w:szCs w:val="20"/>
                <w:lang w:val="de-CH"/>
              </w:rPr>
            </w:pPr>
            <w:r w:rsidRPr="00106503">
              <w:rPr>
                <w:rFonts w:ascii="Times New Roman" w:hAnsi="Times New Roman"/>
                <w:b/>
                <w:color w:val="000000"/>
                <w:szCs w:val="20"/>
                <w:lang w:val="de-CH"/>
              </w:rPr>
              <w:t>Immediate Dump and Access</w:t>
            </w:r>
          </w:p>
        </w:tc>
        <w:tc>
          <w:tcPr>
            <w:tcW w:w="980" w:type="dxa"/>
            <w:tcBorders>
              <w:top w:val="single" w:sz="4" w:space="0" w:color="auto"/>
              <w:bottom w:val="single" w:sz="8"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4</w:t>
            </w:r>
          </w:p>
        </w:tc>
        <w:tc>
          <w:tcPr>
            <w:tcW w:w="934" w:type="dxa"/>
            <w:tcBorders>
              <w:top w:val="single" w:sz="4" w:space="0" w:color="auto"/>
              <w:bottom w:val="single" w:sz="8"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2</w:t>
            </w:r>
          </w:p>
        </w:tc>
        <w:tc>
          <w:tcPr>
            <w:tcW w:w="963" w:type="dxa"/>
            <w:tcBorders>
              <w:top w:val="single" w:sz="4" w:space="0" w:color="auto"/>
              <w:bottom w:val="single" w:sz="8" w:space="0" w:color="auto"/>
            </w:tcBorders>
            <w:vAlign w:val="center"/>
          </w:tcPr>
          <w:p w:rsidR="00106503" w:rsidRPr="00106503" w:rsidRDefault="00106503" w:rsidP="00A234BC">
            <w:pPr>
              <w:pStyle w:val="NormalWeb"/>
              <w:spacing w:before="0" w:beforeAutospacing="0" w:after="0" w:afterAutospacing="0"/>
              <w:jc w:val="center"/>
              <w:textAlignment w:val="center"/>
              <w:rPr>
                <w:sz w:val="22"/>
                <w:szCs w:val="22"/>
              </w:rPr>
            </w:pPr>
            <w:r w:rsidRPr="00106503">
              <w:rPr>
                <w:bCs/>
                <w:color w:val="000000"/>
                <w:kern w:val="24"/>
                <w:sz w:val="22"/>
                <w:szCs w:val="22"/>
              </w:rPr>
              <w:t>0.</w:t>
            </w:r>
            <w:r w:rsidR="00A234BC">
              <w:rPr>
                <w:bCs/>
                <w:color w:val="000000"/>
                <w:kern w:val="24"/>
                <w:sz w:val="22"/>
                <w:szCs w:val="22"/>
              </w:rPr>
              <w:t>2</w:t>
            </w:r>
            <w:r w:rsidRPr="00106503">
              <w:rPr>
                <w:bCs/>
                <w:color w:val="000000"/>
                <w:kern w:val="24"/>
                <w:sz w:val="22"/>
                <w:szCs w:val="22"/>
              </w:rPr>
              <w:t xml:space="preserve"> </w:t>
            </w:r>
          </w:p>
        </w:tc>
        <w:tc>
          <w:tcPr>
            <w:tcW w:w="977" w:type="dxa"/>
            <w:tcBorders>
              <w:top w:val="single" w:sz="4" w:space="0" w:color="auto"/>
              <w:bottom w:val="single" w:sz="8" w:space="0" w:color="auto"/>
            </w:tcBorders>
            <w:vAlign w:val="center"/>
          </w:tcPr>
          <w:p w:rsidR="00106503" w:rsidRPr="00106503" w:rsidRDefault="00106503" w:rsidP="00A234BC">
            <w:pPr>
              <w:pStyle w:val="NormalWeb"/>
              <w:spacing w:before="0" w:beforeAutospacing="0" w:after="0" w:afterAutospacing="0"/>
              <w:jc w:val="center"/>
              <w:textAlignment w:val="center"/>
              <w:rPr>
                <w:sz w:val="22"/>
                <w:szCs w:val="22"/>
              </w:rPr>
            </w:pPr>
            <w:r w:rsidRPr="00106503">
              <w:rPr>
                <w:bCs/>
                <w:color w:val="000000"/>
                <w:kern w:val="24"/>
                <w:sz w:val="22"/>
                <w:szCs w:val="22"/>
              </w:rPr>
              <w:t>0.</w:t>
            </w:r>
            <w:r w:rsidR="00A234BC">
              <w:rPr>
                <w:bCs/>
                <w:color w:val="000000"/>
                <w:kern w:val="24"/>
                <w:sz w:val="22"/>
                <w:szCs w:val="22"/>
              </w:rPr>
              <w:t>1</w:t>
            </w:r>
            <w:r w:rsidRPr="00106503">
              <w:rPr>
                <w:bCs/>
                <w:color w:val="000000"/>
                <w:kern w:val="24"/>
                <w:sz w:val="22"/>
                <w:szCs w:val="22"/>
              </w:rPr>
              <w:t xml:space="preserve"> </w:t>
            </w:r>
          </w:p>
        </w:tc>
      </w:tr>
      <w:tr w:rsidR="00106503" w:rsidRPr="00A65CFF" w:rsidTr="00106503">
        <w:tc>
          <w:tcPr>
            <w:tcW w:w="966" w:type="dxa"/>
            <w:tcBorders>
              <w:top w:val="single" w:sz="4" w:space="0" w:color="auto"/>
              <w:bottom w:val="single" w:sz="8" w:space="0" w:color="auto"/>
            </w:tcBorders>
            <w:vAlign w:val="bottom"/>
          </w:tcPr>
          <w:p w:rsidR="00106503" w:rsidRPr="00106503" w:rsidRDefault="00106503" w:rsidP="00943F9D">
            <w:pPr>
              <w:jc w:val="center"/>
              <w:rPr>
                <w:rFonts w:ascii="Times New Roman" w:hAnsi="Times New Roman"/>
                <w:b/>
                <w:color w:val="000000"/>
                <w:szCs w:val="20"/>
                <w:lang w:val="de-CH"/>
              </w:rPr>
            </w:pPr>
            <w:r w:rsidRPr="00106503">
              <w:rPr>
                <w:rFonts w:ascii="Times New Roman" w:hAnsi="Times New Roman"/>
                <w:b/>
                <w:color w:val="000000"/>
                <w:szCs w:val="20"/>
                <w:lang w:val="de-CH"/>
              </w:rPr>
              <w:t>Immediate Dump</w:t>
            </w:r>
          </w:p>
        </w:tc>
        <w:tc>
          <w:tcPr>
            <w:tcW w:w="980" w:type="dxa"/>
            <w:tcBorders>
              <w:top w:val="single" w:sz="4" w:space="0" w:color="auto"/>
              <w:bottom w:val="single" w:sz="8"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19</w:t>
            </w:r>
          </w:p>
        </w:tc>
        <w:tc>
          <w:tcPr>
            <w:tcW w:w="934" w:type="dxa"/>
            <w:tcBorders>
              <w:top w:val="single" w:sz="4" w:space="0" w:color="auto"/>
              <w:bottom w:val="single" w:sz="8"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11</w:t>
            </w:r>
          </w:p>
        </w:tc>
        <w:tc>
          <w:tcPr>
            <w:tcW w:w="963" w:type="dxa"/>
            <w:tcBorders>
              <w:top w:val="single" w:sz="4" w:space="0" w:color="auto"/>
              <w:bottom w:val="single" w:sz="8"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 xml:space="preserve">0.8 </w:t>
            </w:r>
          </w:p>
        </w:tc>
        <w:tc>
          <w:tcPr>
            <w:tcW w:w="977" w:type="dxa"/>
            <w:tcBorders>
              <w:top w:val="single" w:sz="4" w:space="0" w:color="auto"/>
              <w:bottom w:val="single" w:sz="8"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 xml:space="preserve">0.4 </w:t>
            </w:r>
          </w:p>
        </w:tc>
      </w:tr>
      <w:tr w:rsidR="00106503" w:rsidRPr="00A65CFF" w:rsidTr="00106503">
        <w:tc>
          <w:tcPr>
            <w:tcW w:w="966" w:type="dxa"/>
            <w:tcBorders>
              <w:top w:val="single" w:sz="4" w:space="0" w:color="auto"/>
              <w:bottom w:val="single" w:sz="4" w:space="0" w:color="auto"/>
            </w:tcBorders>
            <w:vAlign w:val="bottom"/>
          </w:tcPr>
          <w:p w:rsidR="00106503" w:rsidRPr="00106503" w:rsidRDefault="00106503" w:rsidP="00943F9D">
            <w:pPr>
              <w:jc w:val="center"/>
              <w:rPr>
                <w:rFonts w:ascii="Times New Roman" w:hAnsi="Times New Roman"/>
                <w:b/>
                <w:color w:val="000000"/>
                <w:szCs w:val="20"/>
                <w:lang w:val="de-CH"/>
              </w:rPr>
            </w:pPr>
            <w:r w:rsidRPr="00106503">
              <w:rPr>
                <w:rFonts w:ascii="Times New Roman" w:hAnsi="Times New Roman"/>
                <w:b/>
                <w:color w:val="000000"/>
                <w:szCs w:val="20"/>
                <w:lang w:val="de-CH"/>
              </w:rPr>
              <w:t>Scheduled Access</w:t>
            </w:r>
          </w:p>
        </w:tc>
        <w:tc>
          <w:tcPr>
            <w:tcW w:w="980"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10</w:t>
            </w:r>
          </w:p>
        </w:tc>
        <w:tc>
          <w:tcPr>
            <w:tcW w:w="934"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6</w:t>
            </w:r>
          </w:p>
        </w:tc>
        <w:tc>
          <w:tcPr>
            <w:tcW w:w="963"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 xml:space="preserve">0.5 </w:t>
            </w:r>
          </w:p>
        </w:tc>
        <w:tc>
          <w:tcPr>
            <w:tcW w:w="977"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 xml:space="preserve">0.3 </w:t>
            </w:r>
          </w:p>
        </w:tc>
      </w:tr>
      <w:tr w:rsidR="00106503" w:rsidRPr="00A65CFF" w:rsidTr="00106503">
        <w:tc>
          <w:tcPr>
            <w:tcW w:w="966" w:type="dxa"/>
            <w:tcBorders>
              <w:top w:val="single" w:sz="4" w:space="0" w:color="auto"/>
              <w:bottom w:val="single" w:sz="4" w:space="0" w:color="auto"/>
            </w:tcBorders>
            <w:vAlign w:val="bottom"/>
          </w:tcPr>
          <w:p w:rsidR="00106503" w:rsidRPr="00106503" w:rsidRDefault="00106503" w:rsidP="00943F9D">
            <w:pPr>
              <w:jc w:val="center"/>
              <w:rPr>
                <w:rFonts w:ascii="Times New Roman" w:hAnsi="Times New Roman"/>
                <w:b/>
                <w:color w:val="000000"/>
                <w:szCs w:val="20"/>
                <w:lang w:val="de-CH"/>
              </w:rPr>
            </w:pPr>
            <w:r w:rsidRPr="00106503">
              <w:rPr>
                <w:rFonts w:ascii="Times New Roman" w:hAnsi="Times New Roman"/>
                <w:b/>
                <w:color w:val="000000"/>
                <w:szCs w:val="20"/>
                <w:lang w:val="de-CH"/>
              </w:rPr>
              <w:t>Other</w:t>
            </w:r>
          </w:p>
        </w:tc>
        <w:tc>
          <w:tcPr>
            <w:tcW w:w="980"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12</w:t>
            </w:r>
          </w:p>
        </w:tc>
        <w:tc>
          <w:tcPr>
            <w:tcW w:w="934"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7</w:t>
            </w:r>
          </w:p>
        </w:tc>
        <w:tc>
          <w:tcPr>
            <w:tcW w:w="963"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 xml:space="preserve">0.5 </w:t>
            </w:r>
          </w:p>
        </w:tc>
        <w:tc>
          <w:tcPr>
            <w:tcW w:w="977" w:type="dxa"/>
            <w:tcBorders>
              <w:top w:val="single" w:sz="4" w:space="0" w:color="auto"/>
              <w:bottom w:val="single" w:sz="4" w:space="0" w:color="auto"/>
            </w:tcBorders>
            <w:vAlign w:val="center"/>
          </w:tcPr>
          <w:p w:rsidR="00106503" w:rsidRPr="00106503" w:rsidRDefault="00106503">
            <w:pPr>
              <w:pStyle w:val="NormalWeb"/>
              <w:spacing w:before="0" w:beforeAutospacing="0" w:after="0" w:afterAutospacing="0"/>
              <w:jc w:val="center"/>
              <w:textAlignment w:val="center"/>
              <w:rPr>
                <w:sz w:val="22"/>
                <w:szCs w:val="22"/>
              </w:rPr>
            </w:pPr>
            <w:r w:rsidRPr="00106503">
              <w:rPr>
                <w:bCs/>
                <w:color w:val="000000"/>
                <w:kern w:val="24"/>
                <w:sz w:val="22"/>
                <w:szCs w:val="22"/>
              </w:rPr>
              <w:t xml:space="preserve">0.3 </w:t>
            </w:r>
          </w:p>
        </w:tc>
      </w:tr>
    </w:tbl>
    <w:p w:rsidR="00106503" w:rsidRDefault="00106503" w:rsidP="00106503">
      <w:pPr>
        <w:pStyle w:val="BodyTextIndent"/>
        <w:rPr>
          <w:kern w:val="16"/>
        </w:rPr>
      </w:pPr>
    </w:p>
    <w:p w:rsidR="000C145B" w:rsidRDefault="00A234BC" w:rsidP="007F3245">
      <w:pPr>
        <w:pStyle w:val="BodyTextIndent"/>
        <w:rPr>
          <w:kern w:val="16"/>
        </w:rPr>
      </w:pPr>
      <w:r>
        <w:rPr>
          <w:kern w:val="16"/>
        </w:rPr>
        <w:t xml:space="preserve">The dominant uncertainty in the above estimate is the actual behaviour of the installed electronics. As outlined before, only a minor fraction of the equipment could be tested and partly strong assumptions had to be made on the </w:t>
      </w:r>
      <w:r w:rsidR="00FA2BB7">
        <w:rPr>
          <w:kern w:val="16"/>
        </w:rPr>
        <w:t>other</w:t>
      </w:r>
      <w:r>
        <w:rPr>
          <w:kern w:val="16"/>
        </w:rPr>
        <w:t xml:space="preserve"> equipment and it</w:t>
      </w:r>
      <w:r w:rsidR="00FA2BB7">
        <w:rPr>
          <w:kern w:val="16"/>
        </w:rPr>
        <w:t>s</w:t>
      </w:r>
      <w:r>
        <w:rPr>
          <w:kern w:val="16"/>
        </w:rPr>
        <w:t xml:space="preserve"> failure probability. In addition, as explained in a previous chapter, the radiation levels being mainly based on measurements require a detailed evaluation of the radiation field as this impacts the monitor calibration</w:t>
      </w:r>
      <w:r w:rsidR="00FA2BB7">
        <w:rPr>
          <w:kern w:val="16"/>
        </w:rPr>
        <w:t>, thus the final measured value</w:t>
      </w:r>
      <w:r>
        <w:rPr>
          <w:kern w:val="16"/>
        </w:rPr>
        <w:t>. In order to quantify the respective uncertainty</w:t>
      </w:r>
      <w:r w:rsidR="00FA2BB7">
        <w:rPr>
          <w:kern w:val="16"/>
        </w:rPr>
        <w:t xml:space="preserve"> of the predicted MTBF</w:t>
      </w:r>
      <w:r>
        <w:rPr>
          <w:kern w:val="16"/>
        </w:rPr>
        <w:t>, a sensitivity analysis has been performed on the two independent parameters:</w:t>
      </w:r>
    </w:p>
    <w:p w:rsidR="00A234BC" w:rsidRDefault="00A234BC" w:rsidP="00A234BC">
      <w:pPr>
        <w:pStyle w:val="BodyTextIndent"/>
        <w:numPr>
          <w:ilvl w:val="0"/>
          <w:numId w:val="23"/>
        </w:numPr>
        <w:rPr>
          <w:kern w:val="16"/>
        </w:rPr>
      </w:pPr>
      <w:r>
        <w:rPr>
          <w:kern w:val="16"/>
        </w:rPr>
        <w:t>increasing and decreasing the failure cross-section of not tested equipment</w:t>
      </w:r>
      <w:r w:rsidR="000034E3">
        <w:rPr>
          <w:kern w:val="16"/>
        </w:rPr>
        <w:t xml:space="preserve"> (x-axis in Figure 6)</w:t>
      </w:r>
      <w:r>
        <w:rPr>
          <w:kern w:val="16"/>
        </w:rPr>
        <w:t>;</w:t>
      </w:r>
    </w:p>
    <w:p w:rsidR="00A234BC" w:rsidRDefault="000034E3" w:rsidP="00A234BC">
      <w:pPr>
        <w:pStyle w:val="BodyTextIndent"/>
        <w:numPr>
          <w:ilvl w:val="0"/>
          <w:numId w:val="23"/>
        </w:numPr>
        <w:rPr>
          <w:kern w:val="16"/>
        </w:rPr>
      </w:pPr>
      <w:r>
        <w:rPr>
          <w:kern w:val="16"/>
        </w:rPr>
        <w:t xml:space="preserve">varying the thermal neutron contribution </w:t>
      </w:r>
      <w:r w:rsidR="00FA2BB7">
        <w:rPr>
          <w:kern w:val="16"/>
        </w:rPr>
        <w:t xml:space="preserve">to the </w:t>
      </w:r>
      <w:proofErr w:type="spellStart"/>
      <w:r w:rsidR="00FA2BB7">
        <w:rPr>
          <w:kern w:val="16"/>
        </w:rPr>
        <w:t>RadMon</w:t>
      </w:r>
      <w:proofErr w:type="spellEnd"/>
      <w:r w:rsidR="00FA2BB7">
        <w:rPr>
          <w:kern w:val="16"/>
        </w:rPr>
        <w:t xml:space="preserve"> reading </w:t>
      </w:r>
      <w:r>
        <w:rPr>
          <w:kern w:val="16"/>
        </w:rPr>
        <w:t>at the location of the radiation monitors, thus changing their calibration factors (shaded areas in Figure 6);</w:t>
      </w:r>
    </w:p>
    <w:p w:rsidR="000034E3" w:rsidRDefault="000034E3" w:rsidP="000034E3">
      <w:pPr>
        <w:pStyle w:val="BodyTextIndent"/>
        <w:rPr>
          <w:kern w:val="16"/>
        </w:rPr>
      </w:pPr>
    </w:p>
    <w:p w:rsidR="000034E3" w:rsidRDefault="000034E3" w:rsidP="00677871">
      <w:pPr>
        <w:pStyle w:val="BodyTextIndent"/>
        <w:rPr>
          <w:kern w:val="16"/>
        </w:rPr>
      </w:pPr>
      <w:r>
        <w:rPr>
          <w:kern w:val="16"/>
        </w:rPr>
        <w:t xml:space="preserve">Combining both sensitivity studies </w:t>
      </w:r>
      <w:r w:rsidR="002F4805">
        <w:rPr>
          <w:kern w:val="16"/>
        </w:rPr>
        <w:t xml:space="preserve">leads to </w:t>
      </w:r>
      <w:r>
        <w:rPr>
          <w:kern w:val="16"/>
        </w:rPr>
        <w:t xml:space="preserve">the results shown in Figure 6 which states the total MTBF as a function of the </w:t>
      </w:r>
      <w:r w:rsidR="00FA2BB7" w:rsidRPr="00FA2BB7">
        <w:rPr>
          <w:kern w:val="16"/>
        </w:rPr>
        <w:t xml:space="preserve">assumed </w:t>
      </w:r>
      <w:r>
        <w:rPr>
          <w:kern w:val="16"/>
        </w:rPr>
        <w:t xml:space="preserve">failure cross-section. The shaded areas illustrate the sensitivity on the monitor calibration in the respective radiation field. It is important to note, that Figure 6 does not </w:t>
      </w:r>
      <w:r w:rsidR="00FA2BB7">
        <w:rPr>
          <w:kern w:val="16"/>
        </w:rPr>
        <w:t xml:space="preserve">illustrate </w:t>
      </w:r>
      <w:r>
        <w:rPr>
          <w:kern w:val="16"/>
        </w:rPr>
        <w:t>the other uncertainties as listed earlier (operational behaviour of the LHC or batch to batch variations of measured components/systems).</w:t>
      </w:r>
    </w:p>
    <w:p w:rsidR="00755724" w:rsidRDefault="00755724" w:rsidP="000034E3">
      <w:pPr>
        <w:pStyle w:val="BodyTextIndent"/>
        <w:rPr>
          <w:kern w:val="16"/>
        </w:rPr>
      </w:pPr>
    </w:p>
    <w:p w:rsidR="008C2EE6" w:rsidRDefault="008C2EE6" w:rsidP="008C2EE6">
      <w:pPr>
        <w:pStyle w:val="BodyTextIndent"/>
        <w:rPr>
          <w:kern w:val="16"/>
        </w:rPr>
      </w:pPr>
      <w:r>
        <w:rPr>
          <w:kern w:val="16"/>
        </w:rPr>
        <w:t>However, it is clearly shown that aiming for a MTBF of one week for ultimate LHC conditions, requires an improvement of</w:t>
      </w:r>
      <w:r w:rsidR="002B7BB7">
        <w:rPr>
          <w:kern w:val="16"/>
        </w:rPr>
        <w:t xml:space="preserve"> at least</w:t>
      </w:r>
      <w:r>
        <w:rPr>
          <w:kern w:val="16"/>
        </w:rPr>
        <w:t xml:space="preserve"> two orders of magnitudes, thus considered to be outside the reach of additional uncertainties. A combination of shielding and relocation </w:t>
      </w:r>
      <w:r>
        <w:rPr>
          <w:kern w:val="16"/>
        </w:rPr>
        <w:lastRenderedPageBreak/>
        <w:t>activities, as well as radiation tolerant developments are thus required as presented in the following chapter.</w:t>
      </w:r>
    </w:p>
    <w:p w:rsidR="00607C67" w:rsidRDefault="00607C67" w:rsidP="00180040">
      <w:pPr>
        <w:pStyle w:val="BodyTextIndent"/>
        <w:ind w:firstLine="0"/>
        <w:rPr>
          <w:kern w:val="16"/>
        </w:rPr>
      </w:pPr>
      <w:r w:rsidRPr="000034E3">
        <w:rPr>
          <w:noProof/>
          <w:kern w:val="16"/>
          <w:lang w:val="en-US"/>
        </w:rPr>
        <w:drawing>
          <wp:inline distT="0" distB="0" distL="0" distR="0">
            <wp:extent cx="3116061" cy="2391643"/>
            <wp:effectExtent l="0" t="0" r="0" b="0"/>
            <wp:docPr id="3" name="Picture 10" descr="C:\newStuff\Electronics\RadWG\FailureEstimates\sensitivity_graph\xsectScaled_rBands_ALLno2010_wBands_v4.png"/>
            <wp:cNvGraphicFramePr/>
            <a:graphic xmlns:a="http://schemas.openxmlformats.org/drawingml/2006/main">
              <a:graphicData uri="http://schemas.openxmlformats.org/drawingml/2006/picture">
                <pic:pic xmlns:pic="http://schemas.openxmlformats.org/drawingml/2006/picture">
                  <pic:nvPicPr>
                    <pic:cNvPr id="49156" name="Picture 4" descr="C:\newStuff\Electronics\RadWG\FailureEstimates\sensitivity_graph\xsectScaled_rBands_ALLno2010_wBands_v4.png"/>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3115691" cy="2391359"/>
                    </a:xfrm>
                    <a:prstGeom prst="rect">
                      <a:avLst/>
                    </a:prstGeom>
                    <a:noFill/>
                  </pic:spPr>
                </pic:pic>
              </a:graphicData>
            </a:graphic>
          </wp:inline>
        </w:drawing>
      </w:r>
    </w:p>
    <w:p w:rsidR="008C2EE6" w:rsidRDefault="00607C67" w:rsidP="00180040">
      <w:pPr>
        <w:pStyle w:val="FigureCaption0"/>
        <w:jc w:val="both"/>
        <w:rPr>
          <w:kern w:val="16"/>
        </w:rPr>
      </w:pPr>
      <w:r>
        <w:rPr>
          <w:kern w:val="16"/>
        </w:rPr>
        <w:t>Figure 6: Sensitivity analysis of failure rate prediction as a function of the assumed failure cross sections for untested equipment, as well as the radiation field at the monitor locations</w:t>
      </w:r>
      <w:r w:rsidRPr="008F0ED6">
        <w:rPr>
          <w:rFonts w:hint="eastAsia"/>
          <w:kern w:val="16"/>
        </w:rPr>
        <w:t>.</w:t>
      </w:r>
    </w:p>
    <w:p w:rsidR="007F3245" w:rsidRDefault="00997B14" w:rsidP="007F3245">
      <w:pPr>
        <w:pStyle w:val="Heading2"/>
        <w:spacing w:before="180"/>
      </w:pPr>
      <w:r>
        <w:t xml:space="preserve">R2E </w:t>
      </w:r>
      <w:r w:rsidR="007F3245">
        <w:t>mitigation Approach</w:t>
      </w:r>
      <w:r w:rsidR="002260F1">
        <w:t xml:space="preserve"> and ongoing studies</w:t>
      </w:r>
    </w:p>
    <w:p w:rsidR="008C2EE6" w:rsidRPr="008C2EE6" w:rsidRDefault="008C2EE6" w:rsidP="008C2EE6">
      <w:pPr>
        <w:pStyle w:val="BodyTextIndent"/>
        <w:rPr>
          <w:kern w:val="16"/>
        </w:rPr>
      </w:pPr>
      <w:r>
        <w:rPr>
          <w:kern w:val="16"/>
        </w:rPr>
        <w:t>As shown in the previous chapters, e</w:t>
      </w:r>
      <w:r w:rsidRPr="008C2EE6">
        <w:rPr>
          <w:kern w:val="16"/>
        </w:rPr>
        <w:t xml:space="preserve">stimating the </w:t>
      </w:r>
      <w:r>
        <w:rPr>
          <w:kern w:val="16"/>
        </w:rPr>
        <w:t xml:space="preserve">detailed </w:t>
      </w:r>
      <w:r w:rsidRPr="008C2EE6">
        <w:rPr>
          <w:kern w:val="16"/>
        </w:rPr>
        <w:t>MTBF due to radiation damage of</w:t>
      </w:r>
      <w:r>
        <w:rPr>
          <w:kern w:val="16"/>
        </w:rPr>
        <w:t xml:space="preserve"> </w:t>
      </w:r>
      <w:r w:rsidRPr="008C2EE6">
        <w:rPr>
          <w:kern w:val="16"/>
        </w:rPr>
        <w:t xml:space="preserve">electronics for the </w:t>
      </w:r>
      <w:r>
        <w:rPr>
          <w:kern w:val="16"/>
        </w:rPr>
        <w:t xml:space="preserve">entire </w:t>
      </w:r>
      <w:r w:rsidRPr="008C2EE6">
        <w:rPr>
          <w:kern w:val="16"/>
        </w:rPr>
        <w:t xml:space="preserve">LHC machine </w:t>
      </w:r>
      <w:r w:rsidR="00880B83">
        <w:rPr>
          <w:kern w:val="16"/>
        </w:rPr>
        <w:t xml:space="preserve">and all individual </w:t>
      </w:r>
      <w:r>
        <w:rPr>
          <w:kern w:val="16"/>
        </w:rPr>
        <w:t>equipment</w:t>
      </w:r>
      <w:r w:rsidR="00880B83">
        <w:rPr>
          <w:kern w:val="16"/>
        </w:rPr>
        <w:t>s</w:t>
      </w:r>
      <w:r>
        <w:rPr>
          <w:kern w:val="16"/>
        </w:rPr>
        <w:t xml:space="preserve"> </w:t>
      </w:r>
      <w:r w:rsidR="00F317E0">
        <w:rPr>
          <w:kern w:val="16"/>
        </w:rPr>
        <w:t xml:space="preserve">is </w:t>
      </w:r>
      <w:r w:rsidR="002B7BB7">
        <w:rPr>
          <w:kern w:val="16"/>
        </w:rPr>
        <w:t>very difficult</w:t>
      </w:r>
      <w:r w:rsidRPr="008C2EE6">
        <w:rPr>
          <w:kern w:val="16"/>
        </w:rPr>
        <w:t xml:space="preserve"> due to the fact that too many electronic</w:t>
      </w:r>
      <w:r>
        <w:rPr>
          <w:kern w:val="16"/>
        </w:rPr>
        <w:t xml:space="preserve"> </w:t>
      </w:r>
      <w:r w:rsidRPr="008C2EE6">
        <w:rPr>
          <w:kern w:val="16"/>
        </w:rPr>
        <w:t>systems are installed in areas exposed to radiation and</w:t>
      </w:r>
      <w:r>
        <w:rPr>
          <w:kern w:val="16"/>
        </w:rPr>
        <w:t xml:space="preserve"> </w:t>
      </w:r>
      <w:r w:rsidRPr="008C2EE6">
        <w:rPr>
          <w:kern w:val="16"/>
        </w:rPr>
        <w:t xml:space="preserve">that it will be impossible to measure the </w:t>
      </w:r>
      <w:r>
        <w:rPr>
          <w:kern w:val="16"/>
        </w:rPr>
        <w:t xml:space="preserve">respective radiation </w:t>
      </w:r>
      <w:r w:rsidRPr="008C2EE6">
        <w:rPr>
          <w:kern w:val="16"/>
        </w:rPr>
        <w:t>sensitivity of all</w:t>
      </w:r>
      <w:r>
        <w:rPr>
          <w:kern w:val="16"/>
        </w:rPr>
        <w:t xml:space="preserve"> </w:t>
      </w:r>
      <w:r w:rsidRPr="008C2EE6">
        <w:rPr>
          <w:kern w:val="16"/>
        </w:rPr>
        <w:t>of them.</w:t>
      </w:r>
    </w:p>
    <w:p w:rsidR="008C2EE6" w:rsidRDefault="008C2EE6" w:rsidP="008C2EE6">
      <w:pPr>
        <w:pStyle w:val="BodyTextIndent"/>
        <w:rPr>
          <w:kern w:val="16"/>
        </w:rPr>
      </w:pPr>
    </w:p>
    <w:p w:rsidR="00F84FA7" w:rsidRDefault="00F317E0" w:rsidP="00F317E0">
      <w:pPr>
        <w:pStyle w:val="BodyTextIndent"/>
        <w:rPr>
          <w:kern w:val="16"/>
        </w:rPr>
      </w:pPr>
      <w:r>
        <w:rPr>
          <w:kern w:val="16"/>
        </w:rPr>
        <w:t>D</w:t>
      </w:r>
      <w:r w:rsidR="00E76DD5">
        <w:rPr>
          <w:kern w:val="16"/>
        </w:rPr>
        <w:t xml:space="preserve">uring the past almost three years the R2E study group has thus put the focus on </w:t>
      </w:r>
      <w:r>
        <w:rPr>
          <w:kern w:val="16"/>
        </w:rPr>
        <w:t>quantifying</w:t>
      </w:r>
      <w:r w:rsidR="00E76DD5">
        <w:rPr>
          <w:kern w:val="16"/>
        </w:rPr>
        <w:t xml:space="preserve"> the risk, assign priorities, propose a mid-and long-term mitigation plan</w:t>
      </w:r>
      <w:r w:rsidR="00F84FA7">
        <w:rPr>
          <w:kern w:val="16"/>
        </w:rPr>
        <w:t xml:space="preserve"> and perform identified urgent actions to improve the situation and reduce the risk of radiation induced failures as much as possible already during the first years of operation</w:t>
      </w:r>
      <w:r w:rsidR="00E76DD5">
        <w:rPr>
          <w:kern w:val="16"/>
        </w:rPr>
        <w:t xml:space="preserve">. </w:t>
      </w:r>
    </w:p>
    <w:p w:rsidR="00F84FA7" w:rsidRDefault="00F84FA7" w:rsidP="00F317E0">
      <w:pPr>
        <w:pStyle w:val="BodyTextIndent"/>
        <w:rPr>
          <w:kern w:val="16"/>
        </w:rPr>
      </w:pPr>
    </w:p>
    <w:p w:rsidR="00F317E0" w:rsidRDefault="00F317E0" w:rsidP="00F317E0">
      <w:pPr>
        <w:pStyle w:val="BodyTextIndent"/>
        <w:rPr>
          <w:kern w:val="16"/>
        </w:rPr>
      </w:pPr>
      <w:r>
        <w:rPr>
          <w:kern w:val="16"/>
        </w:rPr>
        <w:t>The already implemented mitigation actions includ</w:t>
      </w:r>
      <w:r w:rsidR="00F84FA7">
        <w:rPr>
          <w:kern w:val="16"/>
        </w:rPr>
        <w:t>e</w:t>
      </w:r>
      <w:r>
        <w:rPr>
          <w:kern w:val="16"/>
        </w:rPr>
        <w:t>:</w:t>
      </w:r>
    </w:p>
    <w:p w:rsidR="00F317E0" w:rsidRDefault="00F317E0" w:rsidP="00F317E0">
      <w:pPr>
        <w:pStyle w:val="BodyTextIndent"/>
        <w:numPr>
          <w:ilvl w:val="0"/>
          <w:numId w:val="23"/>
        </w:numPr>
        <w:rPr>
          <w:kern w:val="16"/>
        </w:rPr>
      </w:pPr>
      <w:r>
        <w:rPr>
          <w:kern w:val="16"/>
        </w:rPr>
        <w:t xml:space="preserve">closure of holes in shielding: numerous ducts/holes in various </w:t>
      </w:r>
      <w:proofErr w:type="spellStart"/>
      <w:r>
        <w:rPr>
          <w:kern w:val="16"/>
        </w:rPr>
        <w:t>UJs</w:t>
      </w:r>
      <w:proofErr w:type="spellEnd"/>
      <w:r>
        <w:rPr>
          <w:kern w:val="16"/>
        </w:rPr>
        <w:t xml:space="preserve">, shielding of ducts between the </w:t>
      </w:r>
      <w:proofErr w:type="spellStart"/>
      <w:r>
        <w:rPr>
          <w:kern w:val="16"/>
        </w:rPr>
        <w:t>UAs</w:t>
      </w:r>
      <w:proofErr w:type="spellEnd"/>
      <w:r>
        <w:rPr>
          <w:kern w:val="16"/>
        </w:rPr>
        <w:t xml:space="preserve"> and RAs in Point-6 (next to the TCDQ)</w:t>
      </w:r>
    </w:p>
    <w:p w:rsidR="00F317E0" w:rsidRDefault="00F317E0" w:rsidP="00F317E0">
      <w:pPr>
        <w:pStyle w:val="BodyTextIndent"/>
        <w:numPr>
          <w:ilvl w:val="0"/>
          <w:numId w:val="23"/>
        </w:numPr>
        <w:rPr>
          <w:kern w:val="16"/>
        </w:rPr>
      </w:pPr>
      <w:r>
        <w:rPr>
          <w:kern w:val="16"/>
        </w:rPr>
        <w:t xml:space="preserve">installation of additional shielding in the injection areas (UJ22, UJ88) to protect adjacent power-converters; safe-room shielding in the US85 and for the UJ76; shielding of the </w:t>
      </w:r>
      <w:proofErr w:type="spellStart"/>
      <w:r>
        <w:rPr>
          <w:kern w:val="16"/>
        </w:rPr>
        <w:t>RRs</w:t>
      </w:r>
      <w:proofErr w:type="spellEnd"/>
      <w:r>
        <w:rPr>
          <w:kern w:val="16"/>
        </w:rPr>
        <w:t xml:space="preserve"> in P7;</w:t>
      </w:r>
    </w:p>
    <w:p w:rsidR="00F317E0" w:rsidRDefault="00F317E0" w:rsidP="00F317E0">
      <w:pPr>
        <w:pStyle w:val="BodyTextIndent"/>
        <w:numPr>
          <w:ilvl w:val="0"/>
          <w:numId w:val="23"/>
        </w:numPr>
        <w:rPr>
          <w:kern w:val="16"/>
        </w:rPr>
      </w:pPr>
      <w:r>
        <w:rPr>
          <w:kern w:val="16"/>
        </w:rPr>
        <w:t>relocation of safety related equipment: Fire/ODH control racks in P5 and P7; UPS in P7; fire detectors in P8;</w:t>
      </w:r>
    </w:p>
    <w:p w:rsidR="00F317E0" w:rsidRDefault="00F84FA7" w:rsidP="00F317E0">
      <w:pPr>
        <w:pStyle w:val="BodyTextIndent"/>
        <w:numPr>
          <w:ilvl w:val="0"/>
          <w:numId w:val="23"/>
        </w:numPr>
        <w:rPr>
          <w:kern w:val="16"/>
        </w:rPr>
      </w:pPr>
      <w:proofErr w:type="gramStart"/>
      <w:r>
        <w:rPr>
          <w:kern w:val="16"/>
        </w:rPr>
        <w:t>relocation</w:t>
      </w:r>
      <w:proofErr w:type="gramEnd"/>
      <w:r>
        <w:rPr>
          <w:kern w:val="16"/>
        </w:rPr>
        <w:t xml:space="preserve"> of equipment known to be very sensitive and of areas where high radiation levels are reach</w:t>
      </w:r>
      <w:r w:rsidR="002B7BB7">
        <w:rPr>
          <w:kern w:val="16"/>
        </w:rPr>
        <w:t>ed</w:t>
      </w:r>
      <w:r>
        <w:rPr>
          <w:kern w:val="16"/>
        </w:rPr>
        <w:t xml:space="preserve"> earliest: relocation of remaining </w:t>
      </w:r>
      <w:proofErr w:type="spellStart"/>
      <w:r>
        <w:rPr>
          <w:kern w:val="16"/>
        </w:rPr>
        <w:t>cryo</w:t>
      </w:r>
      <w:proofErr w:type="spellEnd"/>
      <w:r>
        <w:rPr>
          <w:kern w:val="16"/>
        </w:rPr>
        <w:t>-equipment in the UX85b and the installation of remote valve controllers;</w:t>
      </w:r>
      <w:r w:rsidR="002B7BB7">
        <w:rPr>
          <w:kern w:val="16"/>
        </w:rPr>
        <w:t xml:space="preserve"> relocation of</w:t>
      </w:r>
      <w:r>
        <w:rPr>
          <w:kern w:val="16"/>
        </w:rPr>
        <w:t xml:space="preserve"> </w:t>
      </w:r>
      <w:proofErr w:type="spellStart"/>
      <w:r>
        <w:rPr>
          <w:kern w:val="16"/>
        </w:rPr>
        <w:t>RTUs</w:t>
      </w:r>
      <w:proofErr w:type="spellEnd"/>
      <w:r>
        <w:rPr>
          <w:kern w:val="16"/>
        </w:rPr>
        <w:t xml:space="preserve"> from </w:t>
      </w:r>
      <w:r w:rsidR="002B7BB7">
        <w:rPr>
          <w:kern w:val="16"/>
        </w:rPr>
        <w:t xml:space="preserve">the </w:t>
      </w:r>
      <w:r>
        <w:rPr>
          <w:kern w:val="16"/>
        </w:rPr>
        <w:t>safe-rooms</w:t>
      </w:r>
      <w:r w:rsidR="002B7BB7">
        <w:rPr>
          <w:kern w:val="16"/>
        </w:rPr>
        <w:t xml:space="preserve"> at Point-5 and 7</w:t>
      </w:r>
      <w:r>
        <w:rPr>
          <w:kern w:val="16"/>
        </w:rPr>
        <w:t>.</w:t>
      </w:r>
    </w:p>
    <w:p w:rsidR="00F84FA7" w:rsidRDefault="00F84FA7" w:rsidP="00F84FA7">
      <w:pPr>
        <w:pStyle w:val="BodyTextIndent"/>
        <w:ind w:left="187" w:firstLine="0"/>
        <w:rPr>
          <w:kern w:val="16"/>
        </w:rPr>
      </w:pPr>
    </w:p>
    <w:p w:rsidR="00E76DD5" w:rsidRDefault="00F84FA7" w:rsidP="00F317E0">
      <w:pPr>
        <w:pStyle w:val="BodyTextIndent"/>
        <w:rPr>
          <w:kern w:val="16"/>
        </w:rPr>
      </w:pPr>
      <w:r>
        <w:rPr>
          <w:kern w:val="16"/>
        </w:rPr>
        <w:t xml:space="preserve">It shall be noted that these actions have already mitigated a certain risk of radiation induced failures, however are only a first step towards a </w:t>
      </w:r>
      <w:proofErr w:type="gramStart"/>
      <w:r>
        <w:rPr>
          <w:kern w:val="16"/>
        </w:rPr>
        <w:t>complete  long</w:t>
      </w:r>
      <w:proofErr w:type="gramEnd"/>
      <w:r>
        <w:rPr>
          <w:kern w:val="16"/>
        </w:rPr>
        <w:t xml:space="preserve">-term solution. For the study and development of the latter, the following </w:t>
      </w:r>
      <w:r w:rsidR="00E76DD5">
        <w:rPr>
          <w:kern w:val="16"/>
        </w:rPr>
        <w:t>main constraints</w:t>
      </w:r>
      <w:r>
        <w:rPr>
          <w:kern w:val="16"/>
        </w:rPr>
        <w:t xml:space="preserve"> have to be considered</w:t>
      </w:r>
      <w:r w:rsidR="0041118A">
        <w:rPr>
          <w:kern w:val="16"/>
        </w:rPr>
        <w:t xml:space="preserve"> and are briefly described in the following with their impact on the long-term mitigation approach</w:t>
      </w:r>
      <w:r w:rsidR="00E76DD5">
        <w:rPr>
          <w:kern w:val="16"/>
        </w:rPr>
        <w:t>:</w:t>
      </w:r>
    </w:p>
    <w:p w:rsidR="00E76DD5" w:rsidRDefault="00E76DD5" w:rsidP="00E76DD5">
      <w:pPr>
        <w:pStyle w:val="BodyTextIndent"/>
        <w:numPr>
          <w:ilvl w:val="0"/>
          <w:numId w:val="28"/>
        </w:numPr>
        <w:rPr>
          <w:kern w:val="16"/>
        </w:rPr>
      </w:pPr>
      <w:r>
        <w:rPr>
          <w:kern w:val="16"/>
        </w:rPr>
        <w:t xml:space="preserve">the definition of a design criteria for acceptable annual high-energy </w:t>
      </w:r>
      <w:proofErr w:type="spellStart"/>
      <w:r>
        <w:rPr>
          <w:kern w:val="16"/>
        </w:rPr>
        <w:t>hadron</w:t>
      </w:r>
      <w:proofErr w:type="spellEnd"/>
      <w:r>
        <w:rPr>
          <w:kern w:val="16"/>
        </w:rPr>
        <w:t xml:space="preserve"> </w:t>
      </w:r>
      <w:proofErr w:type="spellStart"/>
      <w:r>
        <w:rPr>
          <w:kern w:val="16"/>
        </w:rPr>
        <w:t>fluences</w:t>
      </w:r>
      <w:proofErr w:type="spellEnd"/>
      <w:r w:rsidR="00414960">
        <w:rPr>
          <w:kern w:val="16"/>
        </w:rPr>
        <w:t xml:space="preserve"> and the classification of critical areas</w:t>
      </w:r>
    </w:p>
    <w:p w:rsidR="00E76DD5" w:rsidRDefault="00E76DD5" w:rsidP="00E76DD5">
      <w:pPr>
        <w:pStyle w:val="BodyTextIndent"/>
        <w:numPr>
          <w:ilvl w:val="0"/>
          <w:numId w:val="28"/>
        </w:numPr>
        <w:rPr>
          <w:kern w:val="16"/>
        </w:rPr>
      </w:pPr>
      <w:r>
        <w:rPr>
          <w:kern w:val="16"/>
        </w:rPr>
        <w:t>an acceptable global equipment failure rate induced by radiation</w:t>
      </w:r>
    </w:p>
    <w:p w:rsidR="00E76DD5" w:rsidRDefault="00E76DD5" w:rsidP="00E76DD5">
      <w:pPr>
        <w:pStyle w:val="BodyTextIndent"/>
        <w:numPr>
          <w:ilvl w:val="0"/>
          <w:numId w:val="28"/>
        </w:numPr>
        <w:rPr>
          <w:kern w:val="16"/>
        </w:rPr>
      </w:pPr>
      <w:r>
        <w:rPr>
          <w:kern w:val="16"/>
        </w:rPr>
        <w:t>the available time windows for mitigation actions</w:t>
      </w:r>
    </w:p>
    <w:p w:rsidR="00414960" w:rsidRDefault="00414960" w:rsidP="00414960">
      <w:pPr>
        <w:pStyle w:val="BodyTextIndent"/>
        <w:ind w:firstLine="0"/>
        <w:rPr>
          <w:kern w:val="16"/>
        </w:rPr>
      </w:pPr>
    </w:p>
    <w:p w:rsidR="00E76DD5" w:rsidRDefault="00E76DD5" w:rsidP="00880B83">
      <w:pPr>
        <w:pStyle w:val="BodyTextIndent"/>
        <w:rPr>
          <w:kern w:val="16"/>
        </w:rPr>
      </w:pPr>
      <w:r>
        <w:rPr>
          <w:kern w:val="16"/>
        </w:rPr>
        <w:t>For (a) a</w:t>
      </w:r>
      <w:r w:rsidR="008C2EE6" w:rsidRPr="008C2EE6">
        <w:rPr>
          <w:kern w:val="16"/>
        </w:rPr>
        <w:t xml:space="preserve"> </w:t>
      </w:r>
      <w:r w:rsidR="008C2EE6">
        <w:rPr>
          <w:kern w:val="16"/>
        </w:rPr>
        <w:t xml:space="preserve">design </w:t>
      </w:r>
      <w:r w:rsidR="008C2EE6" w:rsidRPr="008C2EE6">
        <w:rPr>
          <w:kern w:val="16"/>
        </w:rPr>
        <w:t xml:space="preserve">limit </w:t>
      </w:r>
      <w:r w:rsidR="00880B83">
        <w:rPr>
          <w:kern w:val="16"/>
        </w:rPr>
        <w:t>of 10</w:t>
      </w:r>
      <w:r w:rsidR="00880B83" w:rsidRPr="00880B83">
        <w:rPr>
          <w:kern w:val="16"/>
          <w:vertAlign w:val="superscript"/>
        </w:rPr>
        <w:t>7</w:t>
      </w:r>
      <w:r w:rsidR="00880B83">
        <w:rPr>
          <w:kern w:val="16"/>
        </w:rPr>
        <w:t>cm</w:t>
      </w:r>
      <w:r w:rsidR="00880B83" w:rsidRPr="00880B83">
        <w:rPr>
          <w:kern w:val="16"/>
          <w:vertAlign w:val="superscript"/>
        </w:rPr>
        <w:t>-2</w:t>
      </w:r>
      <w:r w:rsidR="00880B83">
        <w:rPr>
          <w:kern w:val="16"/>
        </w:rPr>
        <w:t>y</w:t>
      </w:r>
      <w:r w:rsidR="00880B83" w:rsidRPr="00880B83">
        <w:rPr>
          <w:kern w:val="16"/>
          <w:vertAlign w:val="superscript"/>
        </w:rPr>
        <w:t>-1</w:t>
      </w:r>
      <w:r w:rsidR="00880B83">
        <w:rPr>
          <w:kern w:val="16"/>
        </w:rPr>
        <w:t xml:space="preserve"> high-energy hadrons </w:t>
      </w:r>
      <w:r w:rsidR="002B7BB7">
        <w:rPr>
          <w:kern w:val="16"/>
        </w:rPr>
        <w:t>is</w:t>
      </w:r>
      <w:r w:rsidR="00880B83">
        <w:rPr>
          <w:kern w:val="16"/>
        </w:rPr>
        <w:t xml:space="preserve"> </w:t>
      </w:r>
      <w:r w:rsidR="008C2EE6" w:rsidRPr="008C2EE6">
        <w:rPr>
          <w:kern w:val="16"/>
        </w:rPr>
        <w:t xml:space="preserve">not intended </w:t>
      </w:r>
      <w:r>
        <w:rPr>
          <w:kern w:val="16"/>
        </w:rPr>
        <w:t xml:space="preserve">to </w:t>
      </w:r>
      <w:r w:rsidRPr="008C2EE6">
        <w:rPr>
          <w:kern w:val="16"/>
        </w:rPr>
        <w:t xml:space="preserve">be </w:t>
      </w:r>
      <w:r w:rsidR="002B7BB7">
        <w:rPr>
          <w:kern w:val="16"/>
        </w:rPr>
        <w:t xml:space="preserve">used </w:t>
      </w:r>
      <w:r w:rsidR="008C2EE6" w:rsidRPr="008C2EE6">
        <w:rPr>
          <w:kern w:val="16"/>
        </w:rPr>
        <w:t>as</w:t>
      </w:r>
      <w:r w:rsidR="008C2EE6">
        <w:rPr>
          <w:kern w:val="16"/>
        </w:rPr>
        <w:t xml:space="preserve"> </w:t>
      </w:r>
      <w:r w:rsidR="008C2EE6" w:rsidRPr="008C2EE6">
        <w:rPr>
          <w:kern w:val="16"/>
        </w:rPr>
        <w:t>an absolute value below which there is no risk of</w:t>
      </w:r>
      <w:r w:rsidR="008C2EE6">
        <w:rPr>
          <w:kern w:val="16"/>
        </w:rPr>
        <w:t xml:space="preserve"> </w:t>
      </w:r>
      <w:r w:rsidR="008C2EE6" w:rsidRPr="008C2EE6">
        <w:rPr>
          <w:kern w:val="16"/>
        </w:rPr>
        <w:t>occurrence of SEE, but rather as the upper value for</w:t>
      </w:r>
      <w:r w:rsidR="008C2EE6">
        <w:rPr>
          <w:kern w:val="16"/>
        </w:rPr>
        <w:t xml:space="preserve"> </w:t>
      </w:r>
      <w:r w:rsidR="008C2EE6" w:rsidRPr="008C2EE6">
        <w:rPr>
          <w:kern w:val="16"/>
        </w:rPr>
        <w:t>which normally a single non rad</w:t>
      </w:r>
      <w:r w:rsidR="00880B83">
        <w:rPr>
          <w:kern w:val="16"/>
        </w:rPr>
        <w:t xml:space="preserve">iation tolerant </w:t>
      </w:r>
      <w:r w:rsidR="008C2EE6" w:rsidRPr="008C2EE6">
        <w:rPr>
          <w:kern w:val="16"/>
        </w:rPr>
        <w:t>electronic device,</w:t>
      </w:r>
      <w:r w:rsidR="008C2EE6">
        <w:rPr>
          <w:kern w:val="16"/>
        </w:rPr>
        <w:t xml:space="preserve"> </w:t>
      </w:r>
      <w:r w:rsidR="008C2EE6" w:rsidRPr="008C2EE6">
        <w:rPr>
          <w:kern w:val="16"/>
        </w:rPr>
        <w:t xml:space="preserve">either </w:t>
      </w:r>
      <w:r w:rsidR="0041118A">
        <w:rPr>
          <w:kern w:val="16"/>
        </w:rPr>
        <w:t>COTS</w:t>
      </w:r>
      <w:r w:rsidR="008C2EE6" w:rsidRPr="008C2EE6">
        <w:rPr>
          <w:kern w:val="16"/>
        </w:rPr>
        <w:t xml:space="preserve"> or </w:t>
      </w:r>
      <w:r w:rsidR="0041118A">
        <w:rPr>
          <w:kern w:val="16"/>
        </w:rPr>
        <w:t>a c</w:t>
      </w:r>
      <w:r w:rsidR="008C2EE6" w:rsidRPr="008C2EE6">
        <w:rPr>
          <w:kern w:val="16"/>
        </w:rPr>
        <w:t>ustom</w:t>
      </w:r>
      <w:r w:rsidR="008C2EE6">
        <w:rPr>
          <w:kern w:val="16"/>
        </w:rPr>
        <w:t xml:space="preserve"> </w:t>
      </w:r>
      <w:r w:rsidR="008C2EE6" w:rsidRPr="008C2EE6">
        <w:rPr>
          <w:kern w:val="16"/>
        </w:rPr>
        <w:t>designed has good chances to have an MTBF above</w:t>
      </w:r>
      <w:r w:rsidR="008C2EE6">
        <w:rPr>
          <w:kern w:val="16"/>
        </w:rPr>
        <w:t xml:space="preserve"> </w:t>
      </w:r>
      <w:r w:rsidR="008C2EE6" w:rsidRPr="008C2EE6">
        <w:rPr>
          <w:kern w:val="16"/>
        </w:rPr>
        <w:t xml:space="preserve">one year. </w:t>
      </w:r>
      <w:r w:rsidR="008C2EE6">
        <w:rPr>
          <w:kern w:val="16"/>
        </w:rPr>
        <w:t>This way i</w:t>
      </w:r>
      <w:r w:rsidR="008C2EE6" w:rsidRPr="008C2EE6">
        <w:rPr>
          <w:kern w:val="16"/>
        </w:rPr>
        <w:t>t cannot be excluded that very sensitive</w:t>
      </w:r>
      <w:r w:rsidR="008C2EE6">
        <w:rPr>
          <w:kern w:val="16"/>
        </w:rPr>
        <w:t xml:space="preserve"> </w:t>
      </w:r>
      <w:r w:rsidR="008C2EE6" w:rsidRPr="008C2EE6">
        <w:rPr>
          <w:kern w:val="16"/>
        </w:rPr>
        <w:t>electronics may present dramatic failures already at this</w:t>
      </w:r>
      <w:r w:rsidR="008C2EE6">
        <w:rPr>
          <w:kern w:val="16"/>
        </w:rPr>
        <w:t xml:space="preserve"> </w:t>
      </w:r>
      <w:r w:rsidR="008C2EE6" w:rsidRPr="008C2EE6">
        <w:rPr>
          <w:kern w:val="16"/>
        </w:rPr>
        <w:t xml:space="preserve">level, but </w:t>
      </w:r>
      <w:r>
        <w:rPr>
          <w:kern w:val="16"/>
        </w:rPr>
        <w:t xml:space="preserve">the </w:t>
      </w:r>
      <w:r w:rsidR="008C2EE6" w:rsidRPr="008C2EE6">
        <w:rPr>
          <w:kern w:val="16"/>
        </w:rPr>
        <w:t xml:space="preserve">R2E </w:t>
      </w:r>
      <w:r>
        <w:rPr>
          <w:kern w:val="16"/>
        </w:rPr>
        <w:t xml:space="preserve">study group </w:t>
      </w:r>
      <w:r w:rsidR="008C2EE6" w:rsidRPr="008C2EE6">
        <w:rPr>
          <w:kern w:val="16"/>
        </w:rPr>
        <w:t>considered that the number of equipments</w:t>
      </w:r>
      <w:r w:rsidR="008C2EE6">
        <w:rPr>
          <w:kern w:val="16"/>
        </w:rPr>
        <w:t xml:space="preserve"> </w:t>
      </w:r>
      <w:r w:rsidR="008C2EE6" w:rsidRPr="008C2EE6">
        <w:rPr>
          <w:kern w:val="16"/>
        </w:rPr>
        <w:t>presenting this risk is rather limited and a workaround in</w:t>
      </w:r>
      <w:r w:rsidR="008C2EE6">
        <w:rPr>
          <w:kern w:val="16"/>
        </w:rPr>
        <w:t xml:space="preserve"> </w:t>
      </w:r>
      <w:r w:rsidR="008C2EE6" w:rsidRPr="008C2EE6">
        <w:rPr>
          <w:kern w:val="16"/>
        </w:rPr>
        <w:t>case of problems can be found in a reasonable time.</w:t>
      </w:r>
      <w:r w:rsidR="008C2EE6">
        <w:rPr>
          <w:kern w:val="16"/>
        </w:rPr>
        <w:t xml:space="preserve"> </w:t>
      </w:r>
      <w:r w:rsidR="002B7BB7">
        <w:rPr>
          <w:kern w:val="16"/>
        </w:rPr>
        <w:t>R</w:t>
      </w:r>
      <w:r w:rsidR="008C2EE6" w:rsidRPr="008C2EE6">
        <w:rPr>
          <w:kern w:val="16"/>
        </w:rPr>
        <w:t xml:space="preserve">educing </w:t>
      </w:r>
      <w:r w:rsidR="002B7BB7">
        <w:rPr>
          <w:kern w:val="16"/>
        </w:rPr>
        <w:t>this</w:t>
      </w:r>
      <w:r w:rsidR="008C2EE6" w:rsidRPr="008C2EE6">
        <w:rPr>
          <w:kern w:val="16"/>
        </w:rPr>
        <w:t xml:space="preserve"> limit </w:t>
      </w:r>
      <w:r w:rsidR="002B7BB7">
        <w:rPr>
          <w:kern w:val="16"/>
        </w:rPr>
        <w:t xml:space="preserve">further </w:t>
      </w:r>
      <w:r w:rsidR="008C2EE6" w:rsidRPr="008C2EE6">
        <w:rPr>
          <w:kern w:val="16"/>
        </w:rPr>
        <w:t>to come close to the yearly</w:t>
      </w:r>
      <w:r w:rsidR="008C2EE6">
        <w:rPr>
          <w:kern w:val="16"/>
        </w:rPr>
        <w:t xml:space="preserve"> </w:t>
      </w:r>
      <w:r w:rsidR="008C2EE6" w:rsidRPr="008C2EE6">
        <w:rPr>
          <w:kern w:val="16"/>
        </w:rPr>
        <w:t>value normally registered at ground level (~</w:t>
      </w:r>
      <w:r w:rsidR="008C2EE6">
        <w:rPr>
          <w:kern w:val="16"/>
        </w:rPr>
        <w:t>&lt;</w:t>
      </w:r>
      <w:r w:rsidR="008C2EE6" w:rsidRPr="008C2EE6">
        <w:rPr>
          <w:kern w:val="16"/>
        </w:rPr>
        <w:t>10</w:t>
      </w:r>
      <w:r w:rsidR="008C2EE6" w:rsidRPr="008C2EE6">
        <w:rPr>
          <w:kern w:val="16"/>
          <w:vertAlign w:val="superscript"/>
        </w:rPr>
        <w:t>5</w:t>
      </w:r>
      <w:r w:rsidR="008C2EE6">
        <w:rPr>
          <w:kern w:val="16"/>
        </w:rPr>
        <w:t xml:space="preserve"> high-energy </w:t>
      </w:r>
      <w:r w:rsidR="008C2EE6" w:rsidRPr="008C2EE6">
        <w:rPr>
          <w:kern w:val="16"/>
        </w:rPr>
        <w:t>hadrons/cm</w:t>
      </w:r>
      <w:r w:rsidR="008C2EE6" w:rsidRPr="008C2EE6">
        <w:rPr>
          <w:kern w:val="16"/>
          <w:vertAlign w:val="superscript"/>
        </w:rPr>
        <w:t>2</w:t>
      </w:r>
      <w:r w:rsidR="008C2EE6" w:rsidRPr="008C2EE6">
        <w:rPr>
          <w:kern w:val="16"/>
        </w:rPr>
        <w:t xml:space="preserve">) would represent an investment </w:t>
      </w:r>
      <w:r w:rsidR="008C2EE6">
        <w:rPr>
          <w:kern w:val="16"/>
        </w:rPr>
        <w:t xml:space="preserve">(costs and time) </w:t>
      </w:r>
      <w:r w:rsidR="008C2EE6" w:rsidRPr="008C2EE6">
        <w:rPr>
          <w:kern w:val="16"/>
        </w:rPr>
        <w:t>well beyond</w:t>
      </w:r>
      <w:r w:rsidR="008C2EE6">
        <w:rPr>
          <w:kern w:val="16"/>
        </w:rPr>
        <w:t xml:space="preserve"> </w:t>
      </w:r>
      <w:r w:rsidR="008C2EE6" w:rsidRPr="008C2EE6">
        <w:rPr>
          <w:kern w:val="16"/>
        </w:rPr>
        <w:t>what is reasonable</w:t>
      </w:r>
      <w:r w:rsidR="008C2EE6">
        <w:rPr>
          <w:kern w:val="16"/>
        </w:rPr>
        <w:t xml:space="preserve"> and achievable in the given project constraints</w:t>
      </w:r>
      <w:r w:rsidR="008C2EE6" w:rsidRPr="008C2EE6">
        <w:rPr>
          <w:kern w:val="16"/>
        </w:rPr>
        <w:t xml:space="preserve">. </w:t>
      </w:r>
    </w:p>
    <w:p w:rsidR="00E76DD5" w:rsidRDefault="00E76DD5" w:rsidP="00880B83">
      <w:pPr>
        <w:pStyle w:val="BodyTextIndent"/>
        <w:rPr>
          <w:kern w:val="16"/>
        </w:rPr>
      </w:pPr>
    </w:p>
    <w:p w:rsidR="00880B83" w:rsidRDefault="00414960" w:rsidP="00880B83">
      <w:pPr>
        <w:pStyle w:val="BodyTextIndent"/>
        <w:rPr>
          <w:kern w:val="16"/>
        </w:rPr>
      </w:pPr>
      <w:r>
        <w:rPr>
          <w:kern w:val="16"/>
        </w:rPr>
        <w:t>To reach this design goal t</w:t>
      </w:r>
      <w:r w:rsidR="008C2EE6" w:rsidRPr="008C2EE6">
        <w:rPr>
          <w:kern w:val="16"/>
        </w:rPr>
        <w:t xml:space="preserve">he </w:t>
      </w:r>
      <w:r>
        <w:rPr>
          <w:kern w:val="16"/>
        </w:rPr>
        <w:t xml:space="preserve">R2E </w:t>
      </w:r>
      <w:r w:rsidR="00880B83">
        <w:rPr>
          <w:kern w:val="16"/>
        </w:rPr>
        <w:t xml:space="preserve">mitigation project thus </w:t>
      </w:r>
      <w:r w:rsidR="008C2EE6" w:rsidRPr="008C2EE6">
        <w:rPr>
          <w:kern w:val="16"/>
        </w:rPr>
        <w:t>aims at minimising the number of</w:t>
      </w:r>
      <w:r w:rsidR="00880B83">
        <w:rPr>
          <w:kern w:val="16"/>
        </w:rPr>
        <w:t xml:space="preserve"> </w:t>
      </w:r>
      <w:r w:rsidR="008C2EE6" w:rsidRPr="008C2EE6">
        <w:rPr>
          <w:kern w:val="16"/>
        </w:rPr>
        <w:t xml:space="preserve">equipment exposed </w:t>
      </w:r>
      <w:r>
        <w:rPr>
          <w:kern w:val="16"/>
        </w:rPr>
        <w:t>to higher radiation by:</w:t>
      </w:r>
    </w:p>
    <w:p w:rsidR="00880B83" w:rsidRDefault="00880B83" w:rsidP="00880B83">
      <w:pPr>
        <w:pStyle w:val="BodyTextIndent"/>
        <w:numPr>
          <w:ilvl w:val="0"/>
          <w:numId w:val="23"/>
        </w:numPr>
        <w:rPr>
          <w:kern w:val="16"/>
        </w:rPr>
      </w:pPr>
      <w:r>
        <w:rPr>
          <w:kern w:val="16"/>
        </w:rPr>
        <w:t>installing additional shielding</w:t>
      </w:r>
    </w:p>
    <w:p w:rsidR="00880B83" w:rsidRDefault="002B7BB7" w:rsidP="00880B83">
      <w:pPr>
        <w:pStyle w:val="BodyTextIndent"/>
        <w:numPr>
          <w:ilvl w:val="0"/>
          <w:numId w:val="23"/>
        </w:numPr>
        <w:rPr>
          <w:kern w:val="16"/>
        </w:rPr>
      </w:pPr>
      <w:r>
        <w:rPr>
          <w:kern w:val="16"/>
        </w:rPr>
        <w:t>relocation</w:t>
      </w:r>
      <w:r w:rsidR="008C2EE6" w:rsidRPr="008C2EE6">
        <w:rPr>
          <w:kern w:val="16"/>
        </w:rPr>
        <w:t xml:space="preserve"> in</w:t>
      </w:r>
      <w:r w:rsidR="00880B83">
        <w:rPr>
          <w:kern w:val="16"/>
        </w:rPr>
        <w:t>to</w:t>
      </w:r>
      <w:r w:rsidR="008C2EE6" w:rsidRPr="008C2EE6">
        <w:rPr>
          <w:kern w:val="16"/>
        </w:rPr>
        <w:t xml:space="preserve"> properly shielded</w:t>
      </w:r>
      <w:r w:rsidR="00880B83">
        <w:rPr>
          <w:kern w:val="16"/>
        </w:rPr>
        <w:t xml:space="preserve"> areas</w:t>
      </w:r>
    </w:p>
    <w:p w:rsidR="0041118A" w:rsidRDefault="0041118A" w:rsidP="00880B83">
      <w:pPr>
        <w:pStyle w:val="BodyTextIndent"/>
        <w:numPr>
          <w:ilvl w:val="0"/>
          <w:numId w:val="23"/>
        </w:numPr>
        <w:rPr>
          <w:kern w:val="16"/>
        </w:rPr>
      </w:pPr>
      <w:r>
        <w:rPr>
          <w:kern w:val="16"/>
        </w:rPr>
        <w:t>directly reducing the source term of the radiation levels which is an option currently in preparation for IR7 where the installation of additional collimators in IR3 will allow to significantly reduce the radiation levels</w:t>
      </w:r>
      <w:r w:rsidR="002B7BB7">
        <w:rPr>
          <w:kern w:val="16"/>
        </w:rPr>
        <w:t xml:space="preserve"> in IR7</w:t>
      </w:r>
      <w:r>
        <w:rPr>
          <w:kern w:val="16"/>
        </w:rPr>
        <w:t xml:space="preserve"> (it remains however to be studied if this can be considered as a long-term solution or if at a certain point IR7 will again </w:t>
      </w:r>
      <w:r w:rsidR="002B7BB7">
        <w:rPr>
          <w:kern w:val="16"/>
        </w:rPr>
        <w:t xml:space="preserve">have </w:t>
      </w:r>
      <w:r>
        <w:rPr>
          <w:kern w:val="16"/>
        </w:rPr>
        <w:t xml:space="preserve">to be used as </w:t>
      </w:r>
      <w:proofErr w:type="spellStart"/>
      <w:r>
        <w:rPr>
          <w:kern w:val="16"/>
        </w:rPr>
        <w:t>betatron</w:t>
      </w:r>
      <w:proofErr w:type="spellEnd"/>
      <w:r>
        <w:rPr>
          <w:kern w:val="16"/>
        </w:rPr>
        <w:t xml:space="preserve"> collimation area)</w:t>
      </w:r>
    </w:p>
    <w:p w:rsidR="00414960" w:rsidRDefault="00414960" w:rsidP="00414960">
      <w:pPr>
        <w:pStyle w:val="BodyTextIndent"/>
        <w:rPr>
          <w:kern w:val="16"/>
        </w:rPr>
      </w:pPr>
    </w:p>
    <w:p w:rsidR="008C2EE6" w:rsidRDefault="00414960" w:rsidP="00414960">
      <w:pPr>
        <w:pStyle w:val="BodyTextIndent"/>
        <w:rPr>
          <w:kern w:val="16"/>
        </w:rPr>
      </w:pPr>
      <w:r>
        <w:rPr>
          <w:kern w:val="16"/>
        </w:rPr>
        <w:t xml:space="preserve">Unfortunately, shielding is not a sufficient option for all critical areas, thus the remaining equipment has to fulfil the second criteria (b) which was defined </w:t>
      </w:r>
      <w:r w:rsidR="0041118A">
        <w:rPr>
          <w:kern w:val="16"/>
        </w:rPr>
        <w:t xml:space="preserve">together with beam operation </w:t>
      </w:r>
      <w:r>
        <w:rPr>
          <w:kern w:val="16"/>
        </w:rPr>
        <w:t xml:space="preserve">as a collective acceptable failure rate of one weekly radiation induced equipment failure under ultimate LHC conditions (intensity/luminosity/losses). This requires that for equipment not possible to be replaced and remaining in not sufficiently shielded areas alternative solutions have to be found and requiring </w:t>
      </w:r>
      <w:r w:rsidR="00880B83">
        <w:rPr>
          <w:kern w:val="16"/>
        </w:rPr>
        <w:t>radiation tolerant developments</w:t>
      </w:r>
      <w:r>
        <w:rPr>
          <w:kern w:val="16"/>
        </w:rPr>
        <w:t>. The latter mainly impacts the power-converters as they have strong relocation limitations (</w:t>
      </w:r>
      <w:r w:rsidRPr="00414960">
        <w:rPr>
          <w:i/>
          <w:kern w:val="16"/>
        </w:rPr>
        <w:t>e.g.</w:t>
      </w:r>
      <w:r>
        <w:rPr>
          <w:kern w:val="16"/>
        </w:rPr>
        <w:t xml:space="preserve"> cable lengths making it impossible to relocate them from the </w:t>
      </w:r>
      <w:proofErr w:type="spellStart"/>
      <w:r>
        <w:rPr>
          <w:kern w:val="16"/>
        </w:rPr>
        <w:t>RRs</w:t>
      </w:r>
      <w:proofErr w:type="spellEnd"/>
      <w:r>
        <w:rPr>
          <w:kern w:val="16"/>
        </w:rPr>
        <w:t xml:space="preserve"> with standard </w:t>
      </w:r>
      <w:r>
        <w:rPr>
          <w:kern w:val="16"/>
        </w:rPr>
        <w:lastRenderedPageBreak/>
        <w:t xml:space="preserve">cables), as well as certain tunnel components which are already known to be not sufficiently radiation </w:t>
      </w:r>
      <w:r w:rsidR="00F317E0">
        <w:rPr>
          <w:kern w:val="16"/>
        </w:rPr>
        <w:t>tolerant in the long-term (</w:t>
      </w:r>
      <w:r w:rsidR="00F317E0" w:rsidRPr="00F317E0">
        <w:rPr>
          <w:i/>
          <w:kern w:val="16"/>
        </w:rPr>
        <w:t>e.g.</w:t>
      </w:r>
      <w:r>
        <w:rPr>
          <w:kern w:val="16"/>
        </w:rPr>
        <w:t xml:space="preserve"> </w:t>
      </w:r>
      <w:r w:rsidRPr="00414960">
        <w:rPr>
          <w:rFonts w:ascii="Symbol" w:hAnsi="Symbol"/>
          <w:kern w:val="16"/>
        </w:rPr>
        <w:t></w:t>
      </w:r>
      <w:r>
        <w:rPr>
          <w:kern w:val="16"/>
        </w:rPr>
        <w:t>FIP).</w:t>
      </w:r>
      <w:r w:rsidR="0041118A">
        <w:rPr>
          <w:kern w:val="16"/>
        </w:rPr>
        <w:t xml:space="preserve"> Basically two mitigation options exist:</w:t>
      </w:r>
    </w:p>
    <w:p w:rsidR="0041118A" w:rsidRDefault="0041118A" w:rsidP="0041118A">
      <w:pPr>
        <w:pStyle w:val="BodyTextIndent"/>
        <w:numPr>
          <w:ilvl w:val="0"/>
          <w:numId w:val="23"/>
        </w:numPr>
        <w:rPr>
          <w:kern w:val="16"/>
        </w:rPr>
      </w:pPr>
      <w:r>
        <w:rPr>
          <w:kern w:val="16"/>
        </w:rPr>
        <w:t xml:space="preserve">a new radiation tolerant design </w:t>
      </w:r>
      <w:r w:rsidR="00DA4CBD">
        <w:rPr>
          <w:kern w:val="16"/>
        </w:rPr>
        <w:t xml:space="preserve">to replace the existing </w:t>
      </w:r>
      <w:r>
        <w:rPr>
          <w:kern w:val="16"/>
        </w:rPr>
        <w:t xml:space="preserve">power-converters </w:t>
      </w:r>
      <w:r w:rsidR="00DA4CBD">
        <w:rPr>
          <w:kern w:val="16"/>
        </w:rPr>
        <w:t>in the critical areas remaining after relocation and shielding mitigations</w:t>
      </w:r>
    </w:p>
    <w:p w:rsidR="0041118A" w:rsidRPr="0041118A" w:rsidRDefault="0041118A" w:rsidP="0041118A">
      <w:pPr>
        <w:pStyle w:val="BodyTextIndent"/>
        <w:numPr>
          <w:ilvl w:val="0"/>
          <w:numId w:val="23"/>
        </w:numPr>
        <w:rPr>
          <w:kern w:val="16"/>
        </w:rPr>
      </w:pPr>
      <w:r>
        <w:rPr>
          <w:kern w:val="16"/>
        </w:rPr>
        <w:t>the development of new long-distance and vertical super-conducting links allowing to relocate the power-converters to the surface without having the constraint of cable lengths</w:t>
      </w:r>
    </w:p>
    <w:p w:rsidR="008C2EE6" w:rsidRDefault="008C2EE6" w:rsidP="008C2EE6">
      <w:pPr>
        <w:pStyle w:val="BodyTextIndent"/>
        <w:rPr>
          <w:kern w:val="16"/>
        </w:rPr>
      </w:pPr>
    </w:p>
    <w:p w:rsidR="002B7BB7" w:rsidRDefault="0041118A" w:rsidP="00A10EE3">
      <w:pPr>
        <w:pStyle w:val="BodyTextIndent"/>
        <w:rPr>
          <w:kern w:val="16"/>
        </w:rPr>
      </w:pPr>
      <w:r>
        <w:rPr>
          <w:kern w:val="16"/>
        </w:rPr>
        <w:t xml:space="preserve">Only the thorough study of all options can allow for </w:t>
      </w:r>
      <w:r w:rsidR="00A10EE3">
        <w:rPr>
          <w:kern w:val="16"/>
        </w:rPr>
        <w:t xml:space="preserve">an effective and efficient optimisation of the mid/long-term solutions to be implemented. </w:t>
      </w:r>
    </w:p>
    <w:p w:rsidR="002B7BB7" w:rsidRDefault="002B7BB7" w:rsidP="00A10EE3">
      <w:pPr>
        <w:pStyle w:val="BodyTextIndent"/>
        <w:rPr>
          <w:kern w:val="16"/>
        </w:rPr>
      </w:pPr>
    </w:p>
    <w:p w:rsidR="00A10EE3" w:rsidRDefault="00A10EE3" w:rsidP="00A10EE3">
      <w:pPr>
        <w:pStyle w:val="BodyTextIndent"/>
        <w:rPr>
          <w:kern w:val="16"/>
        </w:rPr>
      </w:pPr>
      <w:r>
        <w:rPr>
          <w:kern w:val="16"/>
        </w:rPr>
        <w:t>However, perhaps t</w:t>
      </w:r>
      <w:r w:rsidR="00F317E0">
        <w:rPr>
          <w:kern w:val="16"/>
        </w:rPr>
        <w:t xml:space="preserve">he biggest constraint </w:t>
      </w:r>
      <w:r>
        <w:rPr>
          <w:kern w:val="16"/>
        </w:rPr>
        <w:t>in this endeavour remains (c) which significantly restricts the time windows (</w:t>
      </w:r>
      <w:r w:rsidR="00DA4CBD">
        <w:rPr>
          <w:kern w:val="16"/>
        </w:rPr>
        <w:t>short stops during Christmas</w:t>
      </w:r>
      <w:r>
        <w:rPr>
          <w:kern w:val="16"/>
        </w:rPr>
        <w:t xml:space="preserve">, long-shutdowns) available for the mitigation actions to be implemented. Furthermore, (c) has a further strong impact on the actual mitigation strategy in the sense that </w:t>
      </w:r>
      <w:r w:rsidR="00DA4CBD">
        <w:rPr>
          <w:kern w:val="16"/>
        </w:rPr>
        <w:t xml:space="preserve">foreseen </w:t>
      </w:r>
      <w:r>
        <w:rPr>
          <w:kern w:val="16"/>
        </w:rPr>
        <w:t xml:space="preserve">long operation periods between </w:t>
      </w:r>
      <w:r w:rsidR="00DA4CBD">
        <w:rPr>
          <w:kern w:val="16"/>
        </w:rPr>
        <w:t xml:space="preserve">long shut-downs limit the possibilities </w:t>
      </w:r>
      <w:r>
        <w:rPr>
          <w:kern w:val="16"/>
        </w:rPr>
        <w:t xml:space="preserve">where </w:t>
      </w:r>
      <w:r w:rsidR="00DA4CBD">
        <w:rPr>
          <w:kern w:val="16"/>
        </w:rPr>
        <w:t xml:space="preserve">R2E related mitigation </w:t>
      </w:r>
      <w:r>
        <w:rPr>
          <w:kern w:val="16"/>
        </w:rPr>
        <w:t>work can be performed in the LHC</w:t>
      </w:r>
      <w:r w:rsidR="00DA4CBD">
        <w:rPr>
          <w:kern w:val="16"/>
        </w:rPr>
        <w:t xml:space="preserve">. The electronics </w:t>
      </w:r>
      <w:r>
        <w:rPr>
          <w:kern w:val="16"/>
        </w:rPr>
        <w:t xml:space="preserve">will </w:t>
      </w:r>
      <w:r w:rsidR="00DA4CBD">
        <w:rPr>
          <w:kern w:val="16"/>
        </w:rPr>
        <w:t xml:space="preserve">thus be exposed to </w:t>
      </w:r>
      <w:r>
        <w:rPr>
          <w:kern w:val="16"/>
        </w:rPr>
        <w:t>high</w:t>
      </w:r>
      <w:r w:rsidR="00DA4CBD">
        <w:rPr>
          <w:kern w:val="16"/>
        </w:rPr>
        <w:t xml:space="preserve">er </w:t>
      </w:r>
      <w:r>
        <w:rPr>
          <w:kern w:val="16"/>
        </w:rPr>
        <w:t xml:space="preserve">radiation levels before the actual </w:t>
      </w:r>
      <w:r>
        <w:rPr>
          <w:kern w:val="16"/>
        </w:rPr>
        <w:lastRenderedPageBreak/>
        <w:t xml:space="preserve">mitigation measures could be implemented. This is a particular problem for the power-converters where the development phase will be longer than the time </w:t>
      </w:r>
      <w:r w:rsidR="006C52E8">
        <w:rPr>
          <w:kern w:val="16"/>
        </w:rPr>
        <w:t>available until</w:t>
      </w:r>
      <w:r>
        <w:rPr>
          <w:kern w:val="16"/>
        </w:rPr>
        <w:t xml:space="preserve"> the next long-shutdown.</w:t>
      </w:r>
    </w:p>
    <w:p w:rsidR="007F3245" w:rsidRDefault="007F3245" w:rsidP="00A10EE3">
      <w:pPr>
        <w:pStyle w:val="BodyTextIndent"/>
        <w:rPr>
          <w:kern w:val="16"/>
        </w:rPr>
      </w:pPr>
      <w:r>
        <w:rPr>
          <w:kern w:val="16"/>
        </w:rPr>
        <w:t xml:space="preserve"> </w:t>
      </w:r>
    </w:p>
    <w:p w:rsidR="00A10EE3" w:rsidRDefault="006C52E8" w:rsidP="009B2EED">
      <w:pPr>
        <w:pStyle w:val="BodyTextIndent"/>
        <w:rPr>
          <w:kern w:val="16"/>
        </w:rPr>
      </w:pPr>
      <w:r>
        <w:rPr>
          <w:kern w:val="16"/>
        </w:rPr>
        <w:t>B</w:t>
      </w:r>
      <w:r w:rsidR="00A10EE3">
        <w:rPr>
          <w:kern w:val="16"/>
        </w:rPr>
        <w:t>ased on the results of the R2E study group two workshops were organised in 2010:</w:t>
      </w:r>
    </w:p>
    <w:p w:rsidR="00A10EE3" w:rsidRDefault="00A10EE3" w:rsidP="00A10EE3">
      <w:pPr>
        <w:pStyle w:val="BodyTextIndent"/>
        <w:numPr>
          <w:ilvl w:val="0"/>
          <w:numId w:val="23"/>
        </w:numPr>
        <w:rPr>
          <w:kern w:val="16"/>
        </w:rPr>
      </w:pPr>
      <w:r>
        <w:rPr>
          <w:kern w:val="16"/>
        </w:rPr>
        <w:t>‘LHC Power-Converters Workshop’</w:t>
      </w:r>
      <w:r w:rsidR="00A56CB1">
        <w:rPr>
          <w:kern w:val="16"/>
        </w:rPr>
        <w:t xml:space="preserve"> [26]</w:t>
      </w:r>
    </w:p>
    <w:p w:rsidR="00A10EE3" w:rsidRDefault="00A10EE3" w:rsidP="00A10EE3">
      <w:pPr>
        <w:pStyle w:val="BodyTextIndent"/>
        <w:numPr>
          <w:ilvl w:val="0"/>
          <w:numId w:val="23"/>
        </w:numPr>
        <w:rPr>
          <w:kern w:val="16"/>
        </w:rPr>
      </w:pPr>
      <w:r>
        <w:rPr>
          <w:kern w:val="16"/>
        </w:rPr>
        <w:t>‘R2E Workshop’</w:t>
      </w:r>
      <w:r w:rsidR="00A56CB1">
        <w:rPr>
          <w:kern w:val="16"/>
        </w:rPr>
        <w:t xml:space="preserve"> [27]</w:t>
      </w:r>
    </w:p>
    <w:p w:rsidR="00A10EE3" w:rsidRDefault="00A10EE3" w:rsidP="00A10EE3">
      <w:pPr>
        <w:pStyle w:val="BodyTextIndent"/>
        <w:ind w:left="187" w:firstLine="0"/>
        <w:rPr>
          <w:kern w:val="16"/>
        </w:rPr>
      </w:pPr>
    </w:p>
    <w:p w:rsidR="00CD372A" w:rsidRDefault="00A56CB1" w:rsidP="00CD372A">
      <w:pPr>
        <w:pStyle w:val="BodyTextIndent"/>
        <w:ind w:left="187" w:firstLine="0"/>
        <w:rPr>
          <w:kern w:val="16"/>
        </w:rPr>
      </w:pPr>
      <w:r>
        <w:rPr>
          <w:kern w:val="16"/>
        </w:rPr>
        <w:t>The first workshop studied the problematic of the existing power-converters, confirmed the high operational risk</w:t>
      </w:r>
      <w:r w:rsidR="00CD372A">
        <w:rPr>
          <w:kern w:val="16"/>
        </w:rPr>
        <w:t>,</w:t>
      </w:r>
      <w:r>
        <w:rPr>
          <w:kern w:val="16"/>
        </w:rPr>
        <w:t xml:space="preserve"> proposed a combination of radiation tests and </w:t>
      </w:r>
      <w:r w:rsidR="00CD372A">
        <w:rPr>
          <w:kern w:val="16"/>
        </w:rPr>
        <w:t xml:space="preserve">pointed out the importance </w:t>
      </w:r>
      <w:r>
        <w:rPr>
          <w:kern w:val="16"/>
        </w:rPr>
        <w:t>to study immediately the possibility of a long-term radiation tolerant development. The second workshop focused on the available mid-term mitigation actions (shielding and relocation) and what actions have to be taken in order to assure a long-term mitigation plan</w:t>
      </w:r>
      <w:r w:rsidR="00CD372A">
        <w:rPr>
          <w:kern w:val="16"/>
        </w:rPr>
        <w:t>, as well as their integration into the LHC operational schedule.</w:t>
      </w:r>
      <w:r>
        <w:rPr>
          <w:kern w:val="16"/>
        </w:rPr>
        <w:t xml:space="preserve"> The current proposal is illustrated in Figure 7.</w:t>
      </w:r>
      <w:r w:rsidR="00CD372A" w:rsidRPr="00CD372A">
        <w:rPr>
          <w:kern w:val="16"/>
        </w:rPr>
        <w:t xml:space="preserve"> </w:t>
      </w:r>
    </w:p>
    <w:p w:rsidR="00CD372A" w:rsidRDefault="00CD372A" w:rsidP="00CD372A">
      <w:pPr>
        <w:pStyle w:val="BodyTextIndent"/>
        <w:ind w:left="187" w:firstLine="0"/>
        <w:rPr>
          <w:kern w:val="16"/>
        </w:rPr>
      </w:pPr>
    </w:p>
    <w:p w:rsidR="00A56CB1" w:rsidRDefault="00CD372A" w:rsidP="00CD372A">
      <w:pPr>
        <w:pStyle w:val="BodyTextIndent"/>
        <w:ind w:left="187" w:firstLine="0"/>
        <w:rPr>
          <w:kern w:val="16"/>
        </w:rPr>
      </w:pPr>
      <w:r>
        <w:rPr>
          <w:kern w:val="16"/>
        </w:rPr>
        <w:t>This study and the conclusion of the R2E Workshop [27] led to the creation of the R2E mitigation project with the mandate to optimize the mitigation plan and implement all corresponding actions.</w:t>
      </w:r>
    </w:p>
    <w:p w:rsidR="00A10EE3" w:rsidRDefault="00A10EE3" w:rsidP="009B2EED">
      <w:pPr>
        <w:pStyle w:val="BodyTextIndent"/>
        <w:rPr>
          <w:kern w:val="16"/>
        </w:rPr>
      </w:pPr>
    </w:p>
    <w:p w:rsidR="002A5E98" w:rsidRDefault="002A5E98" w:rsidP="009B2EED">
      <w:pPr>
        <w:pStyle w:val="BodyTextIndent"/>
        <w:rPr>
          <w:kern w:val="16"/>
        </w:rPr>
        <w:sectPr w:rsidR="002A5E98"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2B7BB7" w:rsidRDefault="002B7BB7" w:rsidP="009B2EED">
      <w:pPr>
        <w:pStyle w:val="BodyTextIndent"/>
        <w:rPr>
          <w:kern w:val="16"/>
        </w:rPr>
      </w:pPr>
    </w:p>
    <w:p w:rsidR="002A5E98" w:rsidRDefault="002A5E98" w:rsidP="00CD372A">
      <w:pPr>
        <w:pStyle w:val="BodyTextIndent"/>
        <w:ind w:firstLine="0"/>
        <w:rPr>
          <w:kern w:val="16"/>
        </w:rPr>
        <w:sectPr w:rsidR="002A5E98" w:rsidSect="002A5E98">
          <w:footnotePr>
            <w:pos w:val="beneathText"/>
            <w:numFmt w:val="chicago"/>
          </w:footnotePr>
          <w:endnotePr>
            <w:numFmt w:val="decimal"/>
          </w:endnotePr>
          <w:type w:val="continuous"/>
          <w:pgSz w:w="11907" w:h="16840" w:code="9"/>
          <w:pgMar w:top="2098" w:right="1134" w:bottom="1080" w:left="1134" w:header="720" w:footer="720" w:gutter="0"/>
          <w:cols w:space="288"/>
          <w:docGrid w:linePitch="360"/>
        </w:sectPr>
      </w:pPr>
      <w:r>
        <w:rPr>
          <w:noProof/>
          <w:kern w:val="16"/>
          <w:lang w:val="en-US"/>
        </w:rPr>
        <w:drawing>
          <wp:inline distT="0" distB="0" distL="0" distR="0">
            <wp:extent cx="6250701" cy="400755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66070" cy="4017409"/>
                    </a:xfrm>
                    <a:prstGeom prst="rect">
                      <a:avLst/>
                    </a:prstGeom>
                    <a:noFill/>
                    <a:ln w="9525">
                      <a:noFill/>
                      <a:miter lim="800000"/>
                      <a:headEnd/>
                      <a:tailEnd/>
                    </a:ln>
                  </pic:spPr>
                </pic:pic>
              </a:graphicData>
            </a:graphic>
          </wp:inline>
        </w:drawing>
      </w:r>
    </w:p>
    <w:p w:rsidR="002A5E98" w:rsidRDefault="002A5E98" w:rsidP="00CD372A">
      <w:pPr>
        <w:pStyle w:val="BodyTextIndent"/>
        <w:ind w:firstLine="0"/>
        <w:rPr>
          <w:kern w:val="16"/>
        </w:rPr>
      </w:pPr>
    </w:p>
    <w:p w:rsidR="002A5E98" w:rsidRDefault="002A5E98" w:rsidP="00CD372A">
      <w:pPr>
        <w:pStyle w:val="BodyTextIndent"/>
        <w:ind w:firstLine="0"/>
        <w:rPr>
          <w:kern w:val="16"/>
        </w:rPr>
        <w:sectPr w:rsidR="002A5E98"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2A5E98" w:rsidRDefault="00A56CB1" w:rsidP="00180040">
      <w:pPr>
        <w:pStyle w:val="BodyTextIndent"/>
        <w:ind w:firstLine="0"/>
        <w:rPr>
          <w:kern w:val="16"/>
        </w:rPr>
      </w:pPr>
      <w:r>
        <w:rPr>
          <w:kern w:val="16"/>
        </w:rPr>
        <w:lastRenderedPageBreak/>
        <w:t xml:space="preserve">Figure 7: </w:t>
      </w:r>
      <w:r w:rsidR="002A5E98">
        <w:rPr>
          <w:kern w:val="16"/>
        </w:rPr>
        <w:t>Proposed R2E mitigation approach including studies and actions following the LHC operation and shutdown planning.</w:t>
      </w:r>
    </w:p>
    <w:p w:rsidR="002A5E98" w:rsidRDefault="002A5E98" w:rsidP="009B2EED">
      <w:pPr>
        <w:pStyle w:val="BodyTextIndent"/>
        <w:rPr>
          <w:kern w:val="16"/>
        </w:rPr>
        <w:sectPr w:rsidR="002A5E98" w:rsidSect="002A5E98">
          <w:footnotePr>
            <w:pos w:val="beneathText"/>
            <w:numFmt w:val="chicago"/>
          </w:footnotePr>
          <w:endnotePr>
            <w:numFmt w:val="decimal"/>
          </w:endnotePr>
          <w:type w:val="continuous"/>
          <w:pgSz w:w="11907" w:h="16840" w:code="9"/>
          <w:pgMar w:top="2098" w:right="1134" w:bottom="1080" w:left="1134" w:header="720" w:footer="720" w:gutter="0"/>
          <w:cols w:space="288"/>
          <w:docGrid w:linePitch="360"/>
        </w:sectPr>
      </w:pPr>
    </w:p>
    <w:p w:rsidR="002A5E98" w:rsidRDefault="002A5E98" w:rsidP="009B2EED">
      <w:pPr>
        <w:pStyle w:val="BodyTextIndent"/>
        <w:rPr>
          <w:kern w:val="16"/>
        </w:rPr>
        <w:sectPr w:rsidR="002A5E98"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2A5E98" w:rsidRDefault="00CD372A" w:rsidP="00A40FB6">
      <w:pPr>
        <w:pStyle w:val="BodyTextIndent"/>
        <w:rPr>
          <w:kern w:val="16"/>
        </w:rPr>
      </w:pPr>
      <w:r>
        <w:rPr>
          <w:kern w:val="16"/>
        </w:rPr>
        <w:lastRenderedPageBreak/>
        <w:t>Figure 7 illustrates</w:t>
      </w:r>
      <w:r w:rsidR="0099395D">
        <w:rPr>
          <w:kern w:val="16"/>
        </w:rPr>
        <w:t xml:space="preserve"> that according to the available time-windows the first long-shutdown will focus on relocation and shielding actions, while the started R&amp;D activities for the development of radiation tolerant power-converters and the design and study of super-conducting links will allow </w:t>
      </w:r>
      <w:proofErr w:type="gramStart"/>
      <w:r w:rsidR="0099395D">
        <w:rPr>
          <w:kern w:val="16"/>
        </w:rPr>
        <w:t>to optimize</w:t>
      </w:r>
      <w:proofErr w:type="gramEnd"/>
      <w:r w:rsidR="0099395D">
        <w:rPr>
          <w:kern w:val="16"/>
        </w:rPr>
        <w:t xml:space="preserve"> the long-term solution. In addition, civil engineering actions are kept as backup solution, knowing that such activities would most probably exceed the available length during a shutdown and also be significantly higher in total costs.</w:t>
      </w:r>
    </w:p>
    <w:p w:rsidR="0099395D" w:rsidRDefault="0099395D" w:rsidP="009B2EED">
      <w:pPr>
        <w:pStyle w:val="BodyTextIndent"/>
        <w:rPr>
          <w:kern w:val="16"/>
        </w:rPr>
      </w:pPr>
    </w:p>
    <w:p w:rsidR="0099395D" w:rsidRDefault="0099395D" w:rsidP="00A40FB6">
      <w:pPr>
        <w:pStyle w:val="BodyTextIndent"/>
        <w:rPr>
          <w:kern w:val="16"/>
        </w:rPr>
      </w:pPr>
      <w:r>
        <w:rPr>
          <w:kern w:val="16"/>
        </w:rPr>
        <w:t xml:space="preserve">The R2E mitigation project </w:t>
      </w:r>
      <w:r w:rsidR="00CD372A">
        <w:rPr>
          <w:kern w:val="16"/>
        </w:rPr>
        <w:t xml:space="preserve">has the mandate </w:t>
      </w:r>
      <w:r>
        <w:rPr>
          <w:kern w:val="16"/>
        </w:rPr>
        <w:t>to m</w:t>
      </w:r>
      <w:r w:rsidRPr="0099395D">
        <w:rPr>
          <w:kern w:val="16"/>
        </w:rPr>
        <w:t>inimize (</w:t>
      </w:r>
      <w:r>
        <w:rPr>
          <w:kern w:val="16"/>
        </w:rPr>
        <w:t xml:space="preserve">avoid) any risk of </w:t>
      </w:r>
      <w:r w:rsidRPr="0099395D">
        <w:rPr>
          <w:kern w:val="16"/>
        </w:rPr>
        <w:t>radiation induced failure to electronics</w:t>
      </w:r>
      <w:r>
        <w:rPr>
          <w:kern w:val="16"/>
        </w:rPr>
        <w:t xml:space="preserve">. It studies a detailed </w:t>
      </w:r>
      <w:r w:rsidRPr="0099395D">
        <w:rPr>
          <w:kern w:val="16"/>
        </w:rPr>
        <w:t>mitigation plan fitting in</w:t>
      </w:r>
      <w:r w:rsidR="00CD372A">
        <w:rPr>
          <w:kern w:val="16"/>
        </w:rPr>
        <w:t>to</w:t>
      </w:r>
      <w:r w:rsidRPr="0099395D">
        <w:rPr>
          <w:kern w:val="16"/>
        </w:rPr>
        <w:t xml:space="preserve"> the planned shutdown periods</w:t>
      </w:r>
      <w:r>
        <w:rPr>
          <w:kern w:val="16"/>
        </w:rPr>
        <w:t xml:space="preserve"> and optimizes it </w:t>
      </w:r>
      <w:r w:rsidRPr="0099395D">
        <w:rPr>
          <w:kern w:val="16"/>
        </w:rPr>
        <w:t>with respect to planning and costs</w:t>
      </w:r>
      <w:r>
        <w:rPr>
          <w:kern w:val="16"/>
        </w:rPr>
        <w:t>. This requires a strategy to m</w:t>
      </w:r>
      <w:r w:rsidRPr="0099395D">
        <w:rPr>
          <w:kern w:val="16"/>
        </w:rPr>
        <w:t xml:space="preserve">onitor and benchmark </w:t>
      </w:r>
      <w:r>
        <w:rPr>
          <w:kern w:val="16"/>
        </w:rPr>
        <w:t xml:space="preserve">the radiation around all critical areas, constantly review the equipment behaviour and follow-up on radiation induced problems to further </w:t>
      </w:r>
      <w:r w:rsidRPr="0099395D">
        <w:rPr>
          <w:kern w:val="16"/>
        </w:rPr>
        <w:t xml:space="preserve">refine </w:t>
      </w:r>
      <w:r w:rsidR="00CD372A">
        <w:rPr>
          <w:kern w:val="16"/>
        </w:rPr>
        <w:t xml:space="preserve">the </w:t>
      </w:r>
      <w:r>
        <w:rPr>
          <w:kern w:val="16"/>
        </w:rPr>
        <w:t xml:space="preserve">required </w:t>
      </w:r>
      <w:r w:rsidR="00CD372A">
        <w:rPr>
          <w:kern w:val="16"/>
        </w:rPr>
        <w:t xml:space="preserve">mitigation </w:t>
      </w:r>
      <w:r w:rsidRPr="0099395D">
        <w:rPr>
          <w:kern w:val="16"/>
        </w:rPr>
        <w:t xml:space="preserve">actions and </w:t>
      </w:r>
      <w:r>
        <w:rPr>
          <w:kern w:val="16"/>
        </w:rPr>
        <w:t xml:space="preserve">their respective </w:t>
      </w:r>
      <w:r w:rsidRPr="0099395D">
        <w:rPr>
          <w:kern w:val="16"/>
        </w:rPr>
        <w:t>planning</w:t>
      </w:r>
      <w:r>
        <w:rPr>
          <w:kern w:val="16"/>
        </w:rPr>
        <w:t>. In parallel,</w:t>
      </w:r>
      <w:r w:rsidRPr="0099395D">
        <w:rPr>
          <w:kern w:val="16"/>
        </w:rPr>
        <w:t xml:space="preserve"> </w:t>
      </w:r>
      <w:r>
        <w:rPr>
          <w:kern w:val="16"/>
        </w:rPr>
        <w:t xml:space="preserve">so-called </w:t>
      </w:r>
      <w:r w:rsidRPr="0099395D">
        <w:rPr>
          <w:kern w:val="16"/>
        </w:rPr>
        <w:t xml:space="preserve">“Patch-Solutions” </w:t>
      </w:r>
      <w:r>
        <w:rPr>
          <w:kern w:val="16"/>
        </w:rPr>
        <w:t xml:space="preserve">have to be studied and prepared wherever available. The next long shutdown will focus on shielding and relocation options, anticipating certain work already during the </w:t>
      </w:r>
      <w:proofErr w:type="spellStart"/>
      <w:r>
        <w:rPr>
          <w:kern w:val="16"/>
        </w:rPr>
        <w:t>preceeding</w:t>
      </w:r>
      <w:proofErr w:type="spellEnd"/>
      <w:r>
        <w:rPr>
          <w:kern w:val="16"/>
        </w:rPr>
        <w:t xml:space="preserve"> </w:t>
      </w:r>
      <w:r w:rsidR="00DA4CBD">
        <w:rPr>
          <w:kern w:val="16"/>
        </w:rPr>
        <w:t xml:space="preserve">short stops during Christmas </w:t>
      </w:r>
      <w:r>
        <w:rPr>
          <w:kern w:val="16"/>
        </w:rPr>
        <w:t>(</w:t>
      </w:r>
      <w:r w:rsidRPr="00CD372A">
        <w:rPr>
          <w:i/>
          <w:kern w:val="16"/>
        </w:rPr>
        <w:t>e.g.</w:t>
      </w:r>
      <w:r>
        <w:rPr>
          <w:kern w:val="16"/>
        </w:rPr>
        <w:t xml:space="preserve"> cabling work during the 2010/11, Fire/ODH and RTU relocations). </w:t>
      </w:r>
      <w:r w:rsidR="00A40FB6">
        <w:rPr>
          <w:kern w:val="16"/>
        </w:rPr>
        <w:t>In parallel, all major l</w:t>
      </w:r>
      <w:r w:rsidRPr="0099395D">
        <w:rPr>
          <w:kern w:val="16"/>
        </w:rPr>
        <w:t>ong-</w:t>
      </w:r>
      <w:r w:rsidR="00A40FB6">
        <w:rPr>
          <w:kern w:val="16"/>
        </w:rPr>
        <w:t>t</w:t>
      </w:r>
      <w:r w:rsidRPr="0099395D">
        <w:rPr>
          <w:kern w:val="16"/>
        </w:rPr>
        <w:t xml:space="preserve">erm </w:t>
      </w:r>
      <w:r w:rsidR="00A40FB6">
        <w:rPr>
          <w:kern w:val="16"/>
        </w:rPr>
        <w:t>s</w:t>
      </w:r>
      <w:r w:rsidRPr="0099395D">
        <w:rPr>
          <w:kern w:val="16"/>
        </w:rPr>
        <w:t xml:space="preserve">olutions </w:t>
      </w:r>
      <w:r w:rsidRPr="0099395D">
        <w:rPr>
          <w:kern w:val="16"/>
        </w:rPr>
        <w:br/>
        <w:t>(R&amp;D for S</w:t>
      </w:r>
      <w:r w:rsidR="00A40FB6">
        <w:rPr>
          <w:kern w:val="16"/>
        </w:rPr>
        <w:t xml:space="preserve">uperconducting Links </w:t>
      </w:r>
      <w:r w:rsidRPr="0099395D">
        <w:rPr>
          <w:kern w:val="16"/>
        </w:rPr>
        <w:t xml:space="preserve">and </w:t>
      </w:r>
      <w:r w:rsidR="00A40FB6">
        <w:rPr>
          <w:kern w:val="16"/>
        </w:rPr>
        <w:t>Radiation Tolerant Power-Converters, as well as Civil Engineering</w:t>
      </w:r>
      <w:r w:rsidRPr="0099395D">
        <w:rPr>
          <w:kern w:val="16"/>
        </w:rPr>
        <w:t>)</w:t>
      </w:r>
      <w:r w:rsidR="00A40FB6">
        <w:rPr>
          <w:kern w:val="16"/>
        </w:rPr>
        <w:t xml:space="preserve"> are followed in parallel. </w:t>
      </w:r>
    </w:p>
    <w:p w:rsidR="00A40FB6" w:rsidRDefault="00A40FB6" w:rsidP="00A40FB6">
      <w:pPr>
        <w:pStyle w:val="BodyTextIndent"/>
        <w:rPr>
          <w:kern w:val="16"/>
        </w:rPr>
      </w:pPr>
    </w:p>
    <w:p w:rsidR="00A40FB6" w:rsidRDefault="00A40FB6" w:rsidP="00A40FB6">
      <w:pPr>
        <w:pStyle w:val="BodyTextIndent"/>
        <w:rPr>
          <w:kern w:val="16"/>
        </w:rPr>
      </w:pPr>
      <w:r>
        <w:rPr>
          <w:kern w:val="16"/>
        </w:rPr>
        <w:t>Besides the ongoing R&amp;D work</w:t>
      </w:r>
      <w:r w:rsidR="00AB2BA0">
        <w:rPr>
          <w:kern w:val="16"/>
        </w:rPr>
        <w:t xml:space="preserve">, </w:t>
      </w:r>
      <w:r>
        <w:rPr>
          <w:kern w:val="16"/>
        </w:rPr>
        <w:t>implementation studies</w:t>
      </w:r>
      <w:r w:rsidR="00AB2BA0">
        <w:rPr>
          <w:kern w:val="16"/>
        </w:rPr>
        <w:t xml:space="preserve"> and preparations</w:t>
      </w:r>
      <w:r>
        <w:rPr>
          <w:kern w:val="16"/>
        </w:rPr>
        <w:t>, the following questions are identified as key points to be answered towards a finalized long-term mitigation program for LHC electronics:</w:t>
      </w:r>
    </w:p>
    <w:p w:rsidR="00787BDA" w:rsidRDefault="00787BDA" w:rsidP="00A40FB6">
      <w:pPr>
        <w:pStyle w:val="BodyTextIndent"/>
        <w:numPr>
          <w:ilvl w:val="0"/>
          <w:numId w:val="23"/>
        </w:numPr>
        <w:rPr>
          <w:kern w:val="16"/>
        </w:rPr>
      </w:pPr>
      <w:r>
        <w:rPr>
          <w:kern w:val="16"/>
        </w:rPr>
        <w:t>what are the long-term radiation levels in the dispersion suppressors and in the arc and what does that imply for the respectively installed equipment (</w:t>
      </w:r>
      <w:r w:rsidRPr="00787BDA">
        <w:rPr>
          <w:i/>
          <w:kern w:val="16"/>
        </w:rPr>
        <w:t>e.g.</w:t>
      </w:r>
      <w:r>
        <w:rPr>
          <w:kern w:val="16"/>
        </w:rPr>
        <w:t xml:space="preserve"> higher radiation levels during scrubbing periods)</w:t>
      </w:r>
      <w:r w:rsidR="00CD372A">
        <w:rPr>
          <w:kern w:val="16"/>
        </w:rPr>
        <w:t>;</w:t>
      </w:r>
    </w:p>
    <w:p w:rsidR="00A40FB6" w:rsidRDefault="00A40FB6" w:rsidP="00A40FB6">
      <w:pPr>
        <w:pStyle w:val="BodyTextIndent"/>
        <w:numPr>
          <w:ilvl w:val="0"/>
          <w:numId w:val="23"/>
        </w:numPr>
        <w:rPr>
          <w:kern w:val="16"/>
        </w:rPr>
      </w:pPr>
      <w:r>
        <w:rPr>
          <w:kern w:val="16"/>
        </w:rPr>
        <w:t>how can the large workload related to shielding and relocation activities be reduced and possibly fit into a shutdown of around one year [</w:t>
      </w:r>
      <w:r w:rsidR="00AB2BA0">
        <w:rPr>
          <w:kern w:val="16"/>
        </w:rPr>
        <w:t>28</w:t>
      </w:r>
      <w:r>
        <w:rPr>
          <w:kern w:val="16"/>
        </w:rPr>
        <w:t>]</w:t>
      </w:r>
      <w:r w:rsidR="00CD372A">
        <w:rPr>
          <w:kern w:val="16"/>
        </w:rPr>
        <w:t>;</w:t>
      </w:r>
    </w:p>
    <w:p w:rsidR="00A40FB6" w:rsidRDefault="00A40FB6" w:rsidP="00A40FB6">
      <w:pPr>
        <w:pStyle w:val="BodyTextIndent"/>
        <w:numPr>
          <w:ilvl w:val="0"/>
          <w:numId w:val="23"/>
        </w:numPr>
        <w:rPr>
          <w:kern w:val="16"/>
        </w:rPr>
      </w:pPr>
      <w:r>
        <w:rPr>
          <w:kern w:val="16"/>
        </w:rPr>
        <w:t>what implementation solution can be found for the safe-room equipment in Point-5 and Point-7</w:t>
      </w:r>
      <w:r w:rsidR="00CD372A">
        <w:rPr>
          <w:kern w:val="16"/>
        </w:rPr>
        <w:t>;</w:t>
      </w:r>
    </w:p>
    <w:p w:rsidR="00A40FB6" w:rsidRDefault="00A40FB6" w:rsidP="00A40FB6">
      <w:pPr>
        <w:pStyle w:val="BodyTextIndent"/>
        <w:numPr>
          <w:ilvl w:val="0"/>
          <w:numId w:val="23"/>
        </w:numPr>
        <w:rPr>
          <w:kern w:val="16"/>
        </w:rPr>
      </w:pPr>
      <w:r>
        <w:rPr>
          <w:kern w:val="16"/>
        </w:rPr>
        <w:t>what is the radiation sensitivity of the currently installed power-converters</w:t>
      </w:r>
      <w:r w:rsidR="00787BDA">
        <w:rPr>
          <w:kern w:val="16"/>
        </w:rPr>
        <w:t xml:space="preserve"> and how does this translate into equipment failure risk once shielding and relocation measures have been applied</w:t>
      </w:r>
      <w:r w:rsidR="00CD372A">
        <w:rPr>
          <w:kern w:val="16"/>
        </w:rPr>
        <w:t>;</w:t>
      </w:r>
    </w:p>
    <w:p w:rsidR="00A40FB6" w:rsidRDefault="00A40FB6" w:rsidP="00A40FB6">
      <w:pPr>
        <w:pStyle w:val="BodyTextIndent"/>
        <w:numPr>
          <w:ilvl w:val="0"/>
          <w:numId w:val="23"/>
        </w:numPr>
        <w:rPr>
          <w:kern w:val="16"/>
        </w:rPr>
      </w:pPr>
      <w:r>
        <w:rPr>
          <w:kern w:val="16"/>
        </w:rPr>
        <w:t xml:space="preserve">given the operation period of several years after the next long-shutdown, what intermediate solution can be found for the power-converters </w:t>
      </w:r>
      <w:r w:rsidR="00CD372A">
        <w:rPr>
          <w:kern w:val="16"/>
        </w:rPr>
        <w:t xml:space="preserve">in accordance with the new radiation tolerant development </w:t>
      </w:r>
      <w:r>
        <w:rPr>
          <w:kern w:val="16"/>
        </w:rPr>
        <w:t>and what is the best corresponding long-term approach</w:t>
      </w:r>
      <w:r w:rsidR="00CD372A">
        <w:rPr>
          <w:kern w:val="16"/>
        </w:rPr>
        <w:t>;</w:t>
      </w:r>
    </w:p>
    <w:p w:rsidR="00A40FB6" w:rsidRDefault="00A40FB6" w:rsidP="00A40FB6">
      <w:pPr>
        <w:pStyle w:val="BodyTextIndent"/>
        <w:numPr>
          <w:ilvl w:val="0"/>
          <w:numId w:val="23"/>
        </w:numPr>
        <w:rPr>
          <w:kern w:val="16"/>
        </w:rPr>
      </w:pPr>
      <w:proofErr w:type="gramStart"/>
      <w:r>
        <w:rPr>
          <w:kern w:val="16"/>
        </w:rPr>
        <w:t>what</w:t>
      </w:r>
      <w:proofErr w:type="gramEnd"/>
      <w:r>
        <w:rPr>
          <w:kern w:val="16"/>
        </w:rPr>
        <w:t xml:space="preserve"> additional weak-links exist in the installed tunnel-equipment and what mitigation measures can be considered</w:t>
      </w:r>
      <w:r w:rsidR="00CD372A">
        <w:rPr>
          <w:kern w:val="16"/>
        </w:rPr>
        <w:t>.</w:t>
      </w:r>
    </w:p>
    <w:p w:rsidR="007F3245" w:rsidRDefault="007F3245" w:rsidP="007F3245">
      <w:pPr>
        <w:pStyle w:val="Heading2"/>
      </w:pPr>
      <w:r>
        <w:lastRenderedPageBreak/>
        <w:t>CONCLUSION</w:t>
      </w:r>
      <w:r w:rsidR="00992599">
        <w:t xml:space="preserve"> and follow-ups</w:t>
      </w:r>
    </w:p>
    <w:p w:rsidR="002166B2" w:rsidRDefault="00AB2BA0" w:rsidP="00AB2BA0">
      <w:pPr>
        <w:pStyle w:val="BodyTextIndent"/>
        <w:rPr>
          <w:kern w:val="16"/>
        </w:rPr>
      </w:pPr>
      <w:r>
        <w:rPr>
          <w:kern w:val="16"/>
        </w:rPr>
        <w:t xml:space="preserve">Starting with the two questions to be answered during the 2011 Chamonix workshop, from the R2E point-of-view we can conclude that there is only a </w:t>
      </w:r>
      <w:r w:rsidR="00943F9D" w:rsidRPr="00943F9D">
        <w:rPr>
          <w:kern w:val="16"/>
        </w:rPr>
        <w:t xml:space="preserve">minor impact on </w:t>
      </w:r>
      <w:r>
        <w:rPr>
          <w:kern w:val="16"/>
        </w:rPr>
        <w:t xml:space="preserve">the expected </w:t>
      </w:r>
      <w:r w:rsidR="00943F9D" w:rsidRPr="00943F9D">
        <w:rPr>
          <w:kern w:val="16"/>
        </w:rPr>
        <w:t>radiation levels</w:t>
      </w:r>
      <w:r>
        <w:rPr>
          <w:kern w:val="16"/>
        </w:rPr>
        <w:t xml:space="preserve"> in case the LHC energy is increased from 3.5TeV </w:t>
      </w:r>
      <w:r w:rsidR="00C31730">
        <w:rPr>
          <w:kern w:val="16"/>
        </w:rPr>
        <w:t xml:space="preserve">[29] </w:t>
      </w:r>
      <w:r>
        <w:rPr>
          <w:kern w:val="16"/>
        </w:rPr>
        <w:t>to higher values</w:t>
      </w:r>
      <w:r w:rsidR="00943F9D" w:rsidRPr="00943F9D">
        <w:rPr>
          <w:kern w:val="16"/>
        </w:rPr>
        <w:t xml:space="preserve">, thus </w:t>
      </w:r>
      <w:r>
        <w:rPr>
          <w:kern w:val="16"/>
        </w:rPr>
        <w:t xml:space="preserve">this is </w:t>
      </w:r>
      <w:r w:rsidR="00943F9D" w:rsidRPr="00943F9D">
        <w:rPr>
          <w:kern w:val="16"/>
        </w:rPr>
        <w:t xml:space="preserve">not </w:t>
      </w:r>
      <w:r>
        <w:rPr>
          <w:kern w:val="16"/>
        </w:rPr>
        <w:t xml:space="preserve">considered as </w:t>
      </w:r>
      <w:r w:rsidR="00943F9D" w:rsidRPr="00943F9D">
        <w:rPr>
          <w:kern w:val="16"/>
        </w:rPr>
        <w:t xml:space="preserve">an issue </w:t>
      </w:r>
      <w:r>
        <w:rPr>
          <w:kern w:val="16"/>
        </w:rPr>
        <w:t xml:space="preserve">for R2E. </w:t>
      </w:r>
    </w:p>
    <w:p w:rsidR="002166B2" w:rsidRDefault="002166B2" w:rsidP="00AB2BA0">
      <w:pPr>
        <w:pStyle w:val="BodyTextIndent"/>
        <w:rPr>
          <w:kern w:val="16"/>
        </w:rPr>
      </w:pPr>
    </w:p>
    <w:p w:rsidR="009B2EED" w:rsidRDefault="00AB2BA0" w:rsidP="00AB2BA0">
      <w:pPr>
        <w:pStyle w:val="BodyTextIndent"/>
        <w:rPr>
          <w:kern w:val="16"/>
        </w:rPr>
      </w:pPr>
      <w:r>
        <w:rPr>
          <w:kern w:val="16"/>
        </w:rPr>
        <w:t>However, shifting the long shutdown to 2013 w</w:t>
      </w:r>
      <w:r w:rsidR="00943F9D" w:rsidRPr="00943F9D">
        <w:rPr>
          <w:kern w:val="16"/>
        </w:rPr>
        <w:t xml:space="preserve">ill lead to a delay of </w:t>
      </w:r>
      <w:r>
        <w:rPr>
          <w:kern w:val="16"/>
        </w:rPr>
        <w:t xml:space="preserve">the before described </w:t>
      </w:r>
      <w:r w:rsidR="00943F9D" w:rsidRPr="00943F9D">
        <w:rPr>
          <w:kern w:val="16"/>
        </w:rPr>
        <w:t>R2E mitigation measures (shielding/relocation)</w:t>
      </w:r>
      <w:r>
        <w:rPr>
          <w:kern w:val="16"/>
        </w:rPr>
        <w:t>, thus leading to a higher exposure of the installed electronics. Given the expected radiation levels and equipment sensitivities, an i</w:t>
      </w:r>
      <w:r w:rsidR="00943F9D" w:rsidRPr="00943F9D">
        <w:rPr>
          <w:kern w:val="16"/>
        </w:rPr>
        <w:t xml:space="preserve">mpact on </w:t>
      </w:r>
      <w:r w:rsidR="005903C6">
        <w:rPr>
          <w:kern w:val="16"/>
        </w:rPr>
        <w:t xml:space="preserve">2012 </w:t>
      </w:r>
      <w:r w:rsidR="00943F9D" w:rsidRPr="00943F9D">
        <w:rPr>
          <w:kern w:val="16"/>
        </w:rPr>
        <w:t xml:space="preserve">operation </w:t>
      </w:r>
      <w:r>
        <w:rPr>
          <w:kern w:val="16"/>
        </w:rPr>
        <w:t>can not to be excluded, however</w:t>
      </w:r>
      <w:r w:rsidR="00C31730">
        <w:rPr>
          <w:kern w:val="16"/>
        </w:rPr>
        <w:t>, is</w:t>
      </w:r>
      <w:r>
        <w:rPr>
          <w:kern w:val="16"/>
        </w:rPr>
        <w:t xml:space="preserve"> expected to be close to acceptable limits</w:t>
      </w:r>
      <w:r w:rsidR="005903C6">
        <w:rPr>
          <w:kern w:val="16"/>
        </w:rPr>
        <w:t xml:space="preserve"> (MTBF &gt;= 1 week)</w:t>
      </w:r>
      <w:r>
        <w:rPr>
          <w:kern w:val="16"/>
        </w:rPr>
        <w:t>. It is important to note that the r</w:t>
      </w:r>
      <w:r w:rsidR="00943F9D" w:rsidRPr="00943F9D">
        <w:rPr>
          <w:kern w:val="16"/>
        </w:rPr>
        <w:t>isk of destructive failures</w:t>
      </w:r>
      <w:r>
        <w:rPr>
          <w:kern w:val="16"/>
        </w:rPr>
        <w:t xml:space="preserve"> must not be forgotten </w:t>
      </w:r>
      <w:r w:rsidR="00C31730">
        <w:rPr>
          <w:kern w:val="16"/>
        </w:rPr>
        <w:t xml:space="preserve">(especially for power devices) </w:t>
      </w:r>
      <w:r>
        <w:rPr>
          <w:kern w:val="16"/>
        </w:rPr>
        <w:t>and can not be further quantified with the existing radiation test results.</w:t>
      </w:r>
    </w:p>
    <w:p w:rsidR="00A56CB1" w:rsidRDefault="00A56CB1" w:rsidP="00A56CB1">
      <w:pPr>
        <w:pStyle w:val="BodyTextIndent"/>
        <w:rPr>
          <w:kern w:val="16"/>
        </w:rPr>
      </w:pPr>
    </w:p>
    <w:p w:rsidR="002166B2" w:rsidRDefault="00C31730" w:rsidP="009B0A6B">
      <w:pPr>
        <w:pStyle w:val="BodyTextIndent"/>
        <w:rPr>
          <w:kern w:val="16"/>
        </w:rPr>
      </w:pPr>
      <w:r>
        <w:rPr>
          <w:kern w:val="16"/>
        </w:rPr>
        <w:t>For 2011, t</w:t>
      </w:r>
      <w:r w:rsidR="00AB2BA0">
        <w:rPr>
          <w:kern w:val="16"/>
        </w:rPr>
        <w:t>he R2E mitigation project thus put</w:t>
      </w:r>
      <w:r>
        <w:rPr>
          <w:kern w:val="16"/>
        </w:rPr>
        <w:t>s</w:t>
      </w:r>
      <w:r w:rsidR="00AB2BA0">
        <w:rPr>
          <w:kern w:val="16"/>
        </w:rPr>
        <w:t xml:space="preserve"> the focus on additional radiation tests (</w:t>
      </w:r>
      <w:r w:rsidR="00AB2BA0" w:rsidRPr="00AB2BA0">
        <w:rPr>
          <w:i/>
          <w:kern w:val="16"/>
        </w:rPr>
        <w:t>e.g.</w:t>
      </w:r>
      <w:r w:rsidR="00AB2BA0">
        <w:rPr>
          <w:kern w:val="16"/>
        </w:rPr>
        <w:t xml:space="preserve"> full power-converter tests in the new H4IRRAD facility with representative radiation environments) and the p</w:t>
      </w:r>
      <w:r w:rsidR="00A56CB1" w:rsidRPr="009B2EED">
        <w:rPr>
          <w:kern w:val="16"/>
        </w:rPr>
        <w:t xml:space="preserve">reparation of shielding </w:t>
      </w:r>
      <w:r w:rsidR="00AB2BA0">
        <w:rPr>
          <w:kern w:val="16"/>
        </w:rPr>
        <w:t xml:space="preserve">and </w:t>
      </w:r>
      <w:r w:rsidR="00A56CB1" w:rsidRPr="009B2EED">
        <w:rPr>
          <w:kern w:val="16"/>
        </w:rPr>
        <w:t>relocation measures</w:t>
      </w:r>
      <w:r w:rsidR="00AB2BA0">
        <w:rPr>
          <w:kern w:val="16"/>
        </w:rPr>
        <w:t xml:space="preserve">. The launched development </w:t>
      </w:r>
      <w:r>
        <w:rPr>
          <w:kern w:val="16"/>
        </w:rPr>
        <w:t xml:space="preserve">for </w:t>
      </w:r>
      <w:r w:rsidR="00AB2BA0">
        <w:rPr>
          <w:kern w:val="16"/>
        </w:rPr>
        <w:t xml:space="preserve">radiation tolerant power-converters will start working on the conceptual design as well as the component study and respective radiation tests. </w:t>
      </w:r>
    </w:p>
    <w:p w:rsidR="002166B2" w:rsidRDefault="002166B2" w:rsidP="009B0A6B">
      <w:pPr>
        <w:pStyle w:val="BodyTextIndent"/>
        <w:rPr>
          <w:kern w:val="16"/>
        </w:rPr>
      </w:pPr>
    </w:p>
    <w:p w:rsidR="00A56CB1" w:rsidRPr="009B2EED" w:rsidRDefault="00AB2BA0" w:rsidP="009B0A6B">
      <w:pPr>
        <w:pStyle w:val="BodyTextIndent"/>
        <w:rPr>
          <w:kern w:val="16"/>
        </w:rPr>
      </w:pPr>
      <w:r>
        <w:rPr>
          <w:kern w:val="16"/>
        </w:rPr>
        <w:t>The 2</w:t>
      </w:r>
      <w:r w:rsidR="00A56CB1" w:rsidRPr="009B2EED">
        <w:rPr>
          <w:kern w:val="16"/>
        </w:rPr>
        <w:t xml:space="preserve">011 </w:t>
      </w:r>
      <w:r w:rsidR="009B0A6B">
        <w:rPr>
          <w:kern w:val="16"/>
        </w:rPr>
        <w:t>o</w:t>
      </w:r>
      <w:r>
        <w:rPr>
          <w:kern w:val="16"/>
        </w:rPr>
        <w:t>p</w:t>
      </w:r>
      <w:r w:rsidR="009B0A6B">
        <w:rPr>
          <w:kern w:val="16"/>
        </w:rPr>
        <w:t>e</w:t>
      </w:r>
      <w:r>
        <w:rPr>
          <w:kern w:val="16"/>
        </w:rPr>
        <w:t xml:space="preserve">rational </w:t>
      </w:r>
      <w:r w:rsidR="00A56CB1" w:rsidRPr="009B2EED">
        <w:rPr>
          <w:kern w:val="16"/>
        </w:rPr>
        <w:t xml:space="preserve">experience together with detailed monitoring </w:t>
      </w:r>
      <w:r>
        <w:rPr>
          <w:kern w:val="16"/>
        </w:rPr>
        <w:t>and</w:t>
      </w:r>
      <w:r w:rsidR="00A56CB1" w:rsidRPr="009B2EED">
        <w:rPr>
          <w:kern w:val="16"/>
        </w:rPr>
        <w:t xml:space="preserve"> scheduled radiation tests will </w:t>
      </w:r>
      <w:r>
        <w:rPr>
          <w:kern w:val="16"/>
        </w:rPr>
        <w:t xml:space="preserve">then </w:t>
      </w:r>
      <w:r w:rsidR="00A56CB1" w:rsidRPr="009B2EED">
        <w:rPr>
          <w:kern w:val="16"/>
        </w:rPr>
        <w:t xml:space="preserve">allow </w:t>
      </w:r>
      <w:r>
        <w:rPr>
          <w:kern w:val="16"/>
        </w:rPr>
        <w:t xml:space="preserve">for a </w:t>
      </w:r>
      <w:r w:rsidR="00A56CB1" w:rsidRPr="009B2EED">
        <w:rPr>
          <w:kern w:val="16"/>
        </w:rPr>
        <w:t>further optimization step</w:t>
      </w:r>
      <w:r w:rsidR="009B0A6B">
        <w:rPr>
          <w:kern w:val="16"/>
        </w:rPr>
        <w:t xml:space="preserve"> of the long-term strategy. In addition, equipment groups and the </w:t>
      </w:r>
      <w:proofErr w:type="spellStart"/>
      <w:r w:rsidR="009B0A6B">
        <w:rPr>
          <w:kern w:val="16"/>
        </w:rPr>
        <w:t>RadWG</w:t>
      </w:r>
      <w:proofErr w:type="spellEnd"/>
      <w:r w:rsidR="009B0A6B">
        <w:rPr>
          <w:kern w:val="16"/>
        </w:rPr>
        <w:t xml:space="preserve"> study</w:t>
      </w:r>
      <w:r w:rsidR="00A56CB1" w:rsidRPr="009B2EED">
        <w:rPr>
          <w:kern w:val="16"/>
        </w:rPr>
        <w:t xml:space="preserve"> patch solutions </w:t>
      </w:r>
      <w:r w:rsidR="009B0A6B">
        <w:rPr>
          <w:kern w:val="16"/>
        </w:rPr>
        <w:t>to be applied in case certain equipment specific failures are observed and require an early work-around.</w:t>
      </w:r>
    </w:p>
    <w:p w:rsidR="006211CD" w:rsidRDefault="006211CD" w:rsidP="007777C8">
      <w:pPr>
        <w:pStyle w:val="BodyTextIndent"/>
        <w:rPr>
          <w:kern w:val="16"/>
        </w:rPr>
      </w:pPr>
    </w:p>
    <w:p w:rsidR="009B0A6B" w:rsidRDefault="009B0A6B" w:rsidP="007777C8">
      <w:pPr>
        <w:pStyle w:val="BodyTextIndent"/>
        <w:rPr>
          <w:kern w:val="16"/>
        </w:rPr>
      </w:pPr>
      <w:r>
        <w:rPr>
          <w:kern w:val="16"/>
        </w:rPr>
        <w:t>The following related follow-up actions have been discussed and agreed upon during this workshop:</w:t>
      </w:r>
    </w:p>
    <w:p w:rsidR="007777C8" w:rsidRDefault="007777C8" w:rsidP="009B0A6B">
      <w:pPr>
        <w:pStyle w:val="BodyTextIndent"/>
        <w:numPr>
          <w:ilvl w:val="0"/>
          <w:numId w:val="29"/>
        </w:numPr>
        <w:ind w:left="426" w:hanging="284"/>
        <w:rPr>
          <w:kern w:val="16"/>
        </w:rPr>
      </w:pPr>
      <w:r w:rsidRPr="007777C8">
        <w:rPr>
          <w:kern w:val="16"/>
        </w:rPr>
        <w:t>Prepare as much improvement a</w:t>
      </w:r>
      <w:r w:rsidR="009B0A6B">
        <w:rPr>
          <w:kern w:val="16"/>
        </w:rPr>
        <w:t>s possible for 2011/12 shutdown:</w:t>
      </w:r>
    </w:p>
    <w:p w:rsidR="009B0A6B" w:rsidRPr="007777C8" w:rsidRDefault="009B0A6B" w:rsidP="009B0A6B">
      <w:pPr>
        <w:pStyle w:val="BodyTextIndent"/>
        <w:numPr>
          <w:ilvl w:val="1"/>
          <w:numId w:val="29"/>
        </w:numPr>
        <w:ind w:left="426" w:hanging="284"/>
        <w:rPr>
          <w:kern w:val="16"/>
        </w:rPr>
      </w:pPr>
      <w:proofErr w:type="gramStart"/>
      <w:r>
        <w:rPr>
          <w:kern w:val="16"/>
        </w:rPr>
        <w:t>t</w:t>
      </w:r>
      <w:r w:rsidRPr="007777C8">
        <w:rPr>
          <w:kern w:val="16"/>
        </w:rPr>
        <w:t>his</w:t>
      </w:r>
      <w:proofErr w:type="gramEnd"/>
      <w:r w:rsidRPr="007777C8">
        <w:rPr>
          <w:kern w:val="16"/>
        </w:rPr>
        <w:t xml:space="preserve"> requires a frozen layout for all points and the input from radiation tests/operation </w:t>
      </w:r>
      <w:r>
        <w:rPr>
          <w:kern w:val="16"/>
        </w:rPr>
        <w:t xml:space="preserve">in order </w:t>
      </w:r>
      <w:r w:rsidRPr="007777C8">
        <w:rPr>
          <w:kern w:val="16"/>
        </w:rPr>
        <w:t>to select what equipment</w:t>
      </w:r>
      <w:r>
        <w:rPr>
          <w:kern w:val="16"/>
        </w:rPr>
        <w:t xml:space="preserve"> can be prioritized. The relocation </w:t>
      </w:r>
      <w:r w:rsidRPr="007777C8">
        <w:rPr>
          <w:kern w:val="16"/>
        </w:rPr>
        <w:t xml:space="preserve">work will be anticipated as much as possible (one example: the WIC crate in P8 will most likely be moved </w:t>
      </w:r>
      <w:r>
        <w:rPr>
          <w:kern w:val="16"/>
        </w:rPr>
        <w:t xml:space="preserve">already </w:t>
      </w:r>
      <w:r w:rsidRPr="007777C8">
        <w:rPr>
          <w:kern w:val="16"/>
        </w:rPr>
        <w:t xml:space="preserve">during </w:t>
      </w:r>
      <w:r>
        <w:rPr>
          <w:kern w:val="16"/>
        </w:rPr>
        <w:t xml:space="preserve">one of the early </w:t>
      </w:r>
      <w:r w:rsidRPr="007777C8">
        <w:rPr>
          <w:kern w:val="16"/>
        </w:rPr>
        <w:t>technical stop</w:t>
      </w:r>
      <w:r>
        <w:rPr>
          <w:kern w:val="16"/>
        </w:rPr>
        <w:t>s</w:t>
      </w:r>
      <w:r w:rsidRPr="007777C8">
        <w:rPr>
          <w:kern w:val="16"/>
        </w:rPr>
        <w:t>)</w:t>
      </w:r>
      <w:r>
        <w:rPr>
          <w:kern w:val="16"/>
        </w:rPr>
        <w:t>.</w:t>
      </w:r>
    </w:p>
    <w:p w:rsidR="007777C8" w:rsidRDefault="007777C8" w:rsidP="009B0A6B">
      <w:pPr>
        <w:pStyle w:val="BodyTextIndent"/>
        <w:numPr>
          <w:ilvl w:val="0"/>
          <w:numId w:val="29"/>
        </w:numPr>
        <w:ind w:left="426" w:hanging="284"/>
        <w:rPr>
          <w:kern w:val="16"/>
        </w:rPr>
      </w:pPr>
      <w:r w:rsidRPr="007777C8">
        <w:rPr>
          <w:kern w:val="16"/>
        </w:rPr>
        <w:t xml:space="preserve">Change </w:t>
      </w:r>
      <w:r w:rsidR="00F12BAA">
        <w:rPr>
          <w:kern w:val="16"/>
        </w:rPr>
        <w:t xml:space="preserve">the </w:t>
      </w:r>
      <w:r w:rsidRPr="007777C8">
        <w:rPr>
          <w:kern w:val="16"/>
        </w:rPr>
        <w:t xml:space="preserve">dispersion </w:t>
      </w:r>
      <w:r w:rsidR="005903C6">
        <w:rPr>
          <w:kern w:val="16"/>
        </w:rPr>
        <w:t xml:space="preserve">setup of B2 </w:t>
      </w:r>
      <w:r w:rsidRPr="007777C8">
        <w:rPr>
          <w:kern w:val="16"/>
        </w:rPr>
        <w:t>(IR7</w:t>
      </w:r>
      <w:r w:rsidR="005903C6">
        <w:rPr>
          <w:kern w:val="16"/>
        </w:rPr>
        <w:t xml:space="preserve"> left</w:t>
      </w:r>
      <w:r w:rsidRPr="007777C8">
        <w:rPr>
          <w:kern w:val="16"/>
        </w:rPr>
        <w:t xml:space="preserve">): shorten region </w:t>
      </w:r>
      <w:r w:rsidR="005903C6">
        <w:rPr>
          <w:kern w:val="16"/>
        </w:rPr>
        <w:t xml:space="preserve">in the dispersion suppressor where particle losses appear due to ion beam </w:t>
      </w:r>
      <w:r w:rsidR="009B0A6B">
        <w:rPr>
          <w:kern w:val="16"/>
        </w:rPr>
        <w:t xml:space="preserve">cleaning </w:t>
      </w:r>
      <w:r w:rsidR="005903C6">
        <w:rPr>
          <w:kern w:val="16"/>
        </w:rPr>
        <w:t xml:space="preserve">in IR7 </w:t>
      </w:r>
      <w:r w:rsidR="009B0A6B">
        <w:rPr>
          <w:kern w:val="16"/>
        </w:rPr>
        <w:t>(ions):</w:t>
      </w:r>
    </w:p>
    <w:p w:rsidR="009B0A6B" w:rsidRPr="007777C8" w:rsidRDefault="009B0A6B" w:rsidP="009B0A6B">
      <w:pPr>
        <w:pStyle w:val="BodyTextIndent"/>
        <w:numPr>
          <w:ilvl w:val="1"/>
          <w:numId w:val="29"/>
        </w:numPr>
        <w:ind w:left="426" w:hanging="284"/>
        <w:rPr>
          <w:kern w:val="16"/>
        </w:rPr>
      </w:pPr>
      <w:proofErr w:type="gramStart"/>
      <w:r>
        <w:rPr>
          <w:kern w:val="16"/>
        </w:rPr>
        <w:t>this</w:t>
      </w:r>
      <w:proofErr w:type="gramEnd"/>
      <w:r>
        <w:rPr>
          <w:kern w:val="16"/>
        </w:rPr>
        <w:t xml:space="preserve"> will significantly reduce the ion induced radiation losses next to the collimation areas making the radiation levels during one month of ion operation comparable with the remaining year of proton operation.</w:t>
      </w:r>
    </w:p>
    <w:p w:rsidR="007777C8" w:rsidRDefault="007777C8" w:rsidP="009B0A6B">
      <w:pPr>
        <w:pStyle w:val="BodyTextIndent"/>
        <w:numPr>
          <w:ilvl w:val="0"/>
          <w:numId w:val="29"/>
        </w:numPr>
        <w:ind w:left="426" w:hanging="284"/>
        <w:rPr>
          <w:kern w:val="16"/>
        </w:rPr>
      </w:pPr>
      <w:r w:rsidRPr="007777C8">
        <w:rPr>
          <w:kern w:val="16"/>
        </w:rPr>
        <w:lastRenderedPageBreak/>
        <w:t>Continue efforts to reduce uncertainty in equipment sensitivity</w:t>
      </w:r>
      <w:r w:rsidR="009B0A6B">
        <w:rPr>
          <w:kern w:val="16"/>
        </w:rPr>
        <w:t>:</w:t>
      </w:r>
    </w:p>
    <w:p w:rsidR="009B0A6B" w:rsidRPr="007777C8" w:rsidRDefault="009B0A6B" w:rsidP="009B0A6B">
      <w:pPr>
        <w:pStyle w:val="BodyTextIndent"/>
        <w:numPr>
          <w:ilvl w:val="1"/>
          <w:numId w:val="29"/>
        </w:numPr>
        <w:ind w:left="426" w:hanging="284"/>
        <w:rPr>
          <w:kern w:val="16"/>
        </w:rPr>
      </w:pPr>
      <w:r>
        <w:rPr>
          <w:kern w:val="16"/>
        </w:rPr>
        <w:t xml:space="preserve">the new facility </w:t>
      </w:r>
      <w:r w:rsidRPr="007777C8">
        <w:rPr>
          <w:kern w:val="16"/>
        </w:rPr>
        <w:t xml:space="preserve">H4IRRAD </w:t>
      </w:r>
      <w:r>
        <w:rPr>
          <w:kern w:val="16"/>
        </w:rPr>
        <w:t xml:space="preserve">and respective radiation </w:t>
      </w:r>
      <w:r w:rsidRPr="007777C8">
        <w:rPr>
          <w:kern w:val="16"/>
        </w:rPr>
        <w:t xml:space="preserve">tests </w:t>
      </w:r>
      <w:r>
        <w:rPr>
          <w:kern w:val="16"/>
        </w:rPr>
        <w:t>are in</w:t>
      </w:r>
      <w:r w:rsidRPr="007777C8">
        <w:rPr>
          <w:kern w:val="16"/>
        </w:rPr>
        <w:t xml:space="preserve"> preparation </w:t>
      </w:r>
      <w:r>
        <w:rPr>
          <w:kern w:val="16"/>
        </w:rPr>
        <w:t>and will involve in 2011 multiple p</w:t>
      </w:r>
      <w:r w:rsidRPr="007777C8">
        <w:rPr>
          <w:kern w:val="16"/>
        </w:rPr>
        <w:t>ower-</w:t>
      </w:r>
      <w:r>
        <w:rPr>
          <w:kern w:val="16"/>
        </w:rPr>
        <w:t>c</w:t>
      </w:r>
      <w:r w:rsidRPr="007777C8">
        <w:rPr>
          <w:kern w:val="16"/>
        </w:rPr>
        <w:t>onverters</w:t>
      </w:r>
      <w:r>
        <w:rPr>
          <w:kern w:val="16"/>
        </w:rPr>
        <w:t xml:space="preserve"> as installed in critical areas</w:t>
      </w:r>
      <w:r w:rsidRPr="007777C8">
        <w:rPr>
          <w:kern w:val="16"/>
        </w:rPr>
        <w:t xml:space="preserve">, EN/EL </w:t>
      </w:r>
      <w:r>
        <w:rPr>
          <w:kern w:val="16"/>
        </w:rPr>
        <w:t xml:space="preserve">safe-room equipment and </w:t>
      </w:r>
      <w:proofErr w:type="spellStart"/>
      <w:r w:rsidRPr="007777C8">
        <w:rPr>
          <w:kern w:val="16"/>
        </w:rPr>
        <w:t>GTOs</w:t>
      </w:r>
      <w:proofErr w:type="spellEnd"/>
      <w:r>
        <w:rPr>
          <w:kern w:val="16"/>
        </w:rPr>
        <w:t xml:space="preserve"> as used in Point-6.</w:t>
      </w:r>
    </w:p>
    <w:p w:rsidR="007777C8" w:rsidRDefault="007777C8" w:rsidP="009B0A6B">
      <w:pPr>
        <w:pStyle w:val="BodyTextIndent"/>
        <w:numPr>
          <w:ilvl w:val="0"/>
          <w:numId w:val="29"/>
        </w:numPr>
        <w:ind w:left="426" w:hanging="284"/>
        <w:rPr>
          <w:kern w:val="16"/>
        </w:rPr>
      </w:pPr>
      <w:r w:rsidRPr="007777C8">
        <w:rPr>
          <w:kern w:val="16"/>
        </w:rPr>
        <w:t>Perform beam tests to improve radiation field calibration</w:t>
      </w:r>
      <w:r w:rsidR="009B0A6B">
        <w:rPr>
          <w:kern w:val="16"/>
        </w:rPr>
        <w:t>:</w:t>
      </w:r>
    </w:p>
    <w:p w:rsidR="00C31730" w:rsidRDefault="009B0A6B" w:rsidP="009B0A6B">
      <w:pPr>
        <w:pStyle w:val="BodyTextIndent"/>
        <w:numPr>
          <w:ilvl w:val="1"/>
          <w:numId w:val="29"/>
        </w:numPr>
        <w:ind w:left="426" w:hanging="284"/>
        <w:rPr>
          <w:kern w:val="16"/>
        </w:rPr>
      </w:pPr>
      <w:proofErr w:type="gramStart"/>
      <w:r>
        <w:rPr>
          <w:kern w:val="16"/>
        </w:rPr>
        <w:t>two</w:t>
      </w:r>
      <w:proofErr w:type="gramEnd"/>
      <w:r>
        <w:rPr>
          <w:kern w:val="16"/>
        </w:rPr>
        <w:t xml:space="preserve"> test locations </w:t>
      </w:r>
      <w:r w:rsidRPr="007777C8">
        <w:rPr>
          <w:kern w:val="16"/>
        </w:rPr>
        <w:t>(quench test location + injection region)</w:t>
      </w:r>
      <w:r>
        <w:rPr>
          <w:kern w:val="16"/>
        </w:rPr>
        <w:t xml:space="preserve"> are proposed to LHC operation and respective MD shifts are to be scheduled.</w:t>
      </w:r>
    </w:p>
    <w:p w:rsidR="00C31730" w:rsidRDefault="00C31730" w:rsidP="00C31730">
      <w:pPr>
        <w:pStyle w:val="BodyTextIndent"/>
        <w:rPr>
          <w:kern w:val="16"/>
        </w:rPr>
      </w:pPr>
    </w:p>
    <w:p w:rsidR="009B0A6B" w:rsidRDefault="00C31730" w:rsidP="00C31730">
      <w:pPr>
        <w:pStyle w:val="BodyTextIndent"/>
        <w:rPr>
          <w:kern w:val="16"/>
        </w:rPr>
      </w:pPr>
      <w:r>
        <w:rPr>
          <w:kern w:val="16"/>
        </w:rPr>
        <w:t xml:space="preserve">The above </w:t>
      </w:r>
      <w:r w:rsidR="00607C67">
        <w:rPr>
          <w:kern w:val="16"/>
        </w:rPr>
        <w:t xml:space="preserve">points </w:t>
      </w:r>
      <w:r>
        <w:rPr>
          <w:kern w:val="16"/>
        </w:rPr>
        <w:t>together with the R&amp;D program for power-converters, the radiation tolerant development of tunnel equipment (</w:t>
      </w:r>
      <w:r w:rsidRPr="00C31730">
        <w:rPr>
          <w:i/>
          <w:kern w:val="16"/>
        </w:rPr>
        <w:t>e.g.</w:t>
      </w:r>
      <w:r>
        <w:rPr>
          <w:kern w:val="16"/>
        </w:rPr>
        <w:t xml:space="preserve"> </w:t>
      </w:r>
      <w:proofErr w:type="spellStart"/>
      <w:r>
        <w:rPr>
          <w:kern w:val="16"/>
        </w:rPr>
        <w:t>nanoFIP</w:t>
      </w:r>
      <w:proofErr w:type="spellEnd"/>
      <w:r>
        <w:rPr>
          <w:kern w:val="16"/>
        </w:rPr>
        <w:t>)</w:t>
      </w:r>
      <w:r w:rsidR="00607C67">
        <w:rPr>
          <w:kern w:val="16"/>
        </w:rPr>
        <w:t xml:space="preserve">, the radiation test campaigns and </w:t>
      </w:r>
      <w:proofErr w:type="spellStart"/>
      <w:r>
        <w:rPr>
          <w:kern w:val="16"/>
        </w:rPr>
        <w:t>RadWG</w:t>
      </w:r>
      <w:proofErr w:type="spellEnd"/>
      <w:r>
        <w:rPr>
          <w:kern w:val="16"/>
        </w:rPr>
        <w:t xml:space="preserve"> activities shall ensure the required flexibility from the equipment point-of-view. </w:t>
      </w:r>
      <w:r w:rsidR="00607C67">
        <w:rPr>
          <w:kern w:val="16"/>
        </w:rPr>
        <w:t>T</w:t>
      </w:r>
      <w:r>
        <w:rPr>
          <w:kern w:val="16"/>
        </w:rPr>
        <w:t xml:space="preserve">he preparation of shielding and relocation measures </w:t>
      </w:r>
    </w:p>
    <w:p w:rsidR="007F3245" w:rsidRDefault="007F3245" w:rsidP="007F3245">
      <w:pPr>
        <w:pStyle w:val="Heading2"/>
        <w:keepNext w:val="0"/>
      </w:pPr>
      <w:r>
        <w:t>ACKNOWLEDGEMENTS</w:t>
      </w:r>
    </w:p>
    <w:p w:rsidR="00677871" w:rsidRDefault="007F3245" w:rsidP="00CD372A">
      <w:pPr>
        <w:pStyle w:val="BodyTextIndent"/>
        <w:rPr>
          <w:rFonts w:cs="Arial"/>
          <w:b/>
          <w:bCs/>
          <w:iCs/>
          <w:caps/>
          <w:kern w:val="16"/>
          <w:sz w:val="24"/>
          <w:szCs w:val="28"/>
        </w:rPr>
      </w:pPr>
      <w:r>
        <w:rPr>
          <w:kern w:val="16"/>
        </w:rPr>
        <w:t xml:space="preserve">The authors would like to thank all contributors to the R2E mitigation project and are grateful for numerous discussions and contributions </w:t>
      </w:r>
      <w:r w:rsidR="00080185">
        <w:rPr>
          <w:kern w:val="16"/>
        </w:rPr>
        <w:t>within</w:t>
      </w:r>
      <w:r>
        <w:rPr>
          <w:kern w:val="16"/>
        </w:rPr>
        <w:t xml:space="preserve"> all concerned departments, groups and sections.</w:t>
      </w:r>
    </w:p>
    <w:p w:rsidR="007F3245" w:rsidRDefault="007F3245" w:rsidP="007F3245">
      <w:pPr>
        <w:pStyle w:val="Heading2"/>
      </w:pPr>
      <w:r>
        <w:t>References</w:t>
      </w:r>
    </w:p>
    <w:p w:rsidR="007F3245" w:rsidRDefault="007F3245" w:rsidP="00DE52A2">
      <w:pPr>
        <w:pStyle w:val="ReferenceTextChar"/>
      </w:pPr>
      <w:r w:rsidRPr="00E56880">
        <w:t>[1]</w:t>
      </w:r>
      <w:r w:rsidRPr="00E56880">
        <w:tab/>
      </w:r>
      <w:r w:rsidR="00DE52A2">
        <w:t>D. Kramer et al., “Summary of the 2009 irradiation tests and perspectives for future tests and Facilities”, Proceedings of the Chamonix 2010 LHC Workshop,</w:t>
      </w:r>
      <w:r w:rsidR="008271A7">
        <w:t xml:space="preserve"> </w:t>
      </w:r>
      <w:hyperlink r:id="rId21" w:history="1">
        <w:r w:rsidR="008271A7" w:rsidRPr="008271A7">
          <w:rPr>
            <w:rStyle w:val="Hyperlink"/>
          </w:rPr>
          <w:t>link</w:t>
        </w:r>
      </w:hyperlink>
      <w:r w:rsidR="008271A7">
        <w:t>,</w:t>
      </w:r>
      <w:r w:rsidR="00DE52A2">
        <w:t xml:space="preserve"> (2010)</w:t>
      </w:r>
      <w:r>
        <w:t>.</w:t>
      </w:r>
    </w:p>
    <w:p w:rsidR="00DE52A2" w:rsidRPr="00E56880" w:rsidRDefault="00DE52A2" w:rsidP="00DE52A2">
      <w:pPr>
        <w:pStyle w:val="ReferenceTextChar"/>
      </w:pPr>
      <w:r>
        <w:t>[2]</w:t>
      </w:r>
      <w:r>
        <w:tab/>
        <w:t>G</w:t>
      </w:r>
      <w:r w:rsidRPr="00E56880">
        <w:t xml:space="preserve">. </w:t>
      </w:r>
      <w:r>
        <w:t>Spiezia</w:t>
      </w:r>
      <w:r w:rsidRPr="00E56880">
        <w:t xml:space="preserve"> and </w:t>
      </w:r>
      <w:r>
        <w:t>M. Brugger</w:t>
      </w:r>
      <w:r w:rsidRPr="00E56880">
        <w:t>, “</w:t>
      </w:r>
      <w:r>
        <w:t>Point 1 Equipment Inventory</w:t>
      </w:r>
      <w:r w:rsidRPr="00E56880">
        <w:t>”</w:t>
      </w:r>
      <w:r>
        <w:t>, November 2010</w:t>
      </w:r>
      <w:r w:rsidRPr="00E56880">
        <w:t xml:space="preserve">, </w:t>
      </w:r>
      <w:r>
        <w:t xml:space="preserve">CERN, EDMS: </w:t>
      </w:r>
      <w:hyperlink r:id="rId22" w:history="1">
        <w:r w:rsidRPr="00DE52A2">
          <w:rPr>
            <w:rStyle w:val="Hyperlink"/>
          </w:rPr>
          <w:t>1086566</w:t>
        </w:r>
      </w:hyperlink>
      <w:r>
        <w:t>, LHC-LJ-IR-0001</w:t>
      </w:r>
    </w:p>
    <w:p w:rsidR="00DE52A2" w:rsidRPr="00E56880" w:rsidRDefault="00DE52A2" w:rsidP="00DE52A2">
      <w:pPr>
        <w:pStyle w:val="ReferenceTextChar"/>
      </w:pPr>
      <w:r w:rsidRPr="00E56880">
        <w:t>[</w:t>
      </w:r>
      <w:r>
        <w:t>3</w:t>
      </w:r>
      <w:r w:rsidRPr="00E56880">
        <w:t>]</w:t>
      </w:r>
      <w:r w:rsidRPr="00E56880">
        <w:tab/>
      </w:r>
      <w:r>
        <w:t>G</w:t>
      </w:r>
      <w:r w:rsidRPr="00E56880">
        <w:t xml:space="preserve">. </w:t>
      </w:r>
      <w:r>
        <w:t>Spiezia</w:t>
      </w:r>
      <w:r w:rsidRPr="00E56880">
        <w:t xml:space="preserve"> and </w:t>
      </w:r>
      <w:r>
        <w:t>M. Brugger</w:t>
      </w:r>
      <w:r w:rsidRPr="00E56880">
        <w:t>, “</w:t>
      </w:r>
      <w:r>
        <w:t>Point 5 Equipment Inventory</w:t>
      </w:r>
      <w:r w:rsidRPr="00E56880">
        <w:t>”</w:t>
      </w:r>
      <w:r>
        <w:t>, January 2011</w:t>
      </w:r>
      <w:r w:rsidRPr="00E56880">
        <w:t xml:space="preserve">, </w:t>
      </w:r>
      <w:r>
        <w:t xml:space="preserve">CERN, EDMS: </w:t>
      </w:r>
      <w:hyperlink r:id="rId23" w:history="1">
        <w:r w:rsidRPr="00DE52A2">
          <w:rPr>
            <w:rStyle w:val="Hyperlink"/>
          </w:rPr>
          <w:t>1092113</w:t>
        </w:r>
      </w:hyperlink>
      <w:r>
        <w:t>, LHC-LJ-IR-0002</w:t>
      </w:r>
    </w:p>
    <w:p w:rsidR="00DE52A2" w:rsidRDefault="00DE52A2" w:rsidP="00DE52A2">
      <w:pPr>
        <w:pStyle w:val="ReferenceTextChar"/>
        <w:rPr>
          <w:szCs w:val="20"/>
        </w:rPr>
      </w:pPr>
      <w:r w:rsidRPr="00E56880">
        <w:t>[</w:t>
      </w:r>
      <w:r>
        <w:t>4</w:t>
      </w:r>
      <w:r w:rsidRPr="00E56880">
        <w:t>]</w:t>
      </w:r>
      <w:r w:rsidRPr="00E56880">
        <w:tab/>
      </w:r>
      <w:r>
        <w:t>G</w:t>
      </w:r>
      <w:r w:rsidRPr="00E56880">
        <w:t xml:space="preserve">. </w:t>
      </w:r>
      <w:r>
        <w:t>Spiezia</w:t>
      </w:r>
      <w:r w:rsidRPr="00E56880">
        <w:t xml:space="preserve"> and </w:t>
      </w:r>
      <w:r>
        <w:t>M. Brugger</w:t>
      </w:r>
      <w:r w:rsidRPr="00E56880">
        <w:t>, “</w:t>
      </w:r>
      <w:r>
        <w:t>Point 7 Equipment Inventory</w:t>
      </w:r>
      <w:r w:rsidRPr="00E56880">
        <w:t>”</w:t>
      </w:r>
      <w:r>
        <w:t>, January 2011</w:t>
      </w:r>
      <w:r w:rsidRPr="00E56880">
        <w:t xml:space="preserve">, </w:t>
      </w:r>
      <w:r>
        <w:t xml:space="preserve">CERN, EDMS: </w:t>
      </w:r>
      <w:hyperlink r:id="rId24" w:history="1">
        <w:r w:rsidRPr="00DE52A2">
          <w:rPr>
            <w:rStyle w:val="Hyperlink"/>
          </w:rPr>
          <w:t>1092167</w:t>
        </w:r>
      </w:hyperlink>
      <w:r>
        <w:t>, LHC-LJ-IR-0003</w:t>
      </w:r>
      <w:r w:rsidRPr="00E56880">
        <w:rPr>
          <w:szCs w:val="20"/>
        </w:rPr>
        <w:t>.</w:t>
      </w:r>
    </w:p>
    <w:p w:rsidR="00DE52A2" w:rsidRDefault="00DE52A2" w:rsidP="00DE52A2">
      <w:pPr>
        <w:pStyle w:val="ReferenceTextChar"/>
      </w:pPr>
      <w:r>
        <w:t>[5</w:t>
      </w:r>
      <w:r w:rsidRPr="00E56880">
        <w:t>]</w:t>
      </w:r>
      <w:r w:rsidRPr="00E56880">
        <w:tab/>
      </w:r>
      <w:r>
        <w:t>G</w:t>
      </w:r>
      <w:r w:rsidRPr="00E56880">
        <w:t xml:space="preserve">. </w:t>
      </w:r>
      <w:r>
        <w:t>Spiezia</w:t>
      </w:r>
      <w:r w:rsidRPr="00E56880">
        <w:t xml:space="preserve"> and </w:t>
      </w:r>
      <w:r>
        <w:t>M. Brugger</w:t>
      </w:r>
      <w:r w:rsidRPr="00E56880">
        <w:t>, “</w:t>
      </w:r>
      <w:r>
        <w:t>Point 8 Equipment Inventory</w:t>
      </w:r>
      <w:r w:rsidRPr="00E56880">
        <w:t>”</w:t>
      </w:r>
      <w:r>
        <w:t>, November 2010</w:t>
      </w:r>
      <w:r w:rsidRPr="00E56880">
        <w:t xml:space="preserve">, </w:t>
      </w:r>
      <w:r>
        <w:t xml:space="preserve">CERN, EDMS: </w:t>
      </w:r>
      <w:hyperlink r:id="rId25" w:history="1">
        <w:r w:rsidRPr="00DE52A2">
          <w:rPr>
            <w:rStyle w:val="Hyperlink"/>
          </w:rPr>
          <w:t>1092170</w:t>
        </w:r>
      </w:hyperlink>
      <w:r>
        <w:t>, LHC-LJ-IR-0004</w:t>
      </w:r>
      <w:r w:rsidRPr="00E56880">
        <w:rPr>
          <w:szCs w:val="20"/>
        </w:rPr>
        <w:t>.</w:t>
      </w:r>
      <w:r w:rsidRPr="00E315D4">
        <w:t xml:space="preserve"> </w:t>
      </w:r>
    </w:p>
    <w:p w:rsidR="00B45200" w:rsidRPr="00DD5AAA" w:rsidRDefault="00B45200" w:rsidP="00B45200">
      <w:pPr>
        <w:pStyle w:val="ReferenceTextChar"/>
        <w:rPr>
          <w:lang w:val="fr-CH"/>
        </w:rPr>
      </w:pPr>
      <w:r w:rsidRPr="00DD5AAA">
        <w:rPr>
          <w:lang w:val="fr-CH"/>
        </w:rPr>
        <w:t>[6]</w:t>
      </w:r>
      <w:r w:rsidRPr="00DD5AAA">
        <w:rPr>
          <w:lang w:val="fr-CH"/>
        </w:rPr>
        <w:tab/>
        <w:t>A.Ferrari, P.Sala, A.Fassò, J. Ranft, ”FLUKA: A Multi-Particle Transport Code”, CERN-2005-10 (2005), INFN/TC_05/11, SLAC-R-773.</w:t>
      </w:r>
    </w:p>
    <w:p w:rsidR="00B45200" w:rsidRDefault="00B45200" w:rsidP="00B45200">
      <w:pPr>
        <w:pStyle w:val="ReferenceTextChar"/>
      </w:pPr>
      <w:r>
        <w:t>[7</w:t>
      </w:r>
      <w:r w:rsidRPr="00E56880">
        <w:t>]</w:t>
      </w:r>
      <w:r w:rsidRPr="00E56880">
        <w:tab/>
      </w:r>
      <w:r>
        <w:t>G. Battistoni, S. Muraro, P.R. Sala, F. Cerutti, A. Ferrari, S. Roesler, A. Fassò, J. Ranft, ”The FLUKA code: Description and benchmarking”, Proceedings of the Hadronic Shower Simulation Workshop 2006, Fermilab 6-8 September 2006, M. Albrow, R. Raja eds., AIP Conference Proceeding 896, 31-49 (2007).</w:t>
      </w:r>
    </w:p>
    <w:p w:rsidR="00B45200" w:rsidRDefault="00B45200" w:rsidP="00B45200">
      <w:pPr>
        <w:pStyle w:val="ReferenceTextChar"/>
      </w:pPr>
      <w:r w:rsidRPr="00E56880">
        <w:t>[</w:t>
      </w:r>
      <w:r>
        <w:t>8</w:t>
      </w:r>
      <w:r w:rsidRPr="00E56880">
        <w:t>]</w:t>
      </w:r>
      <w:r w:rsidRPr="00E56880">
        <w:tab/>
      </w:r>
      <w:r>
        <w:t>M. Brugger et al.</w:t>
      </w:r>
      <w:r w:rsidRPr="00E56880">
        <w:t>, “</w:t>
      </w:r>
      <w:r w:rsidRPr="00B45200">
        <w:t>Review of critical radiation areas for LHC Electronics and mitigation actions. Radiation monitoring and first results</w:t>
      </w:r>
      <w:r w:rsidRPr="00E56880">
        <w:t>”</w:t>
      </w:r>
      <w:r>
        <w:t xml:space="preserve">, Proceedings of the Chamonix 2010 LHC Workshop, </w:t>
      </w:r>
      <w:hyperlink r:id="rId26" w:history="1">
        <w:r w:rsidRPr="008271A7">
          <w:rPr>
            <w:rStyle w:val="Hyperlink"/>
          </w:rPr>
          <w:t>link</w:t>
        </w:r>
      </w:hyperlink>
      <w:r>
        <w:t>, (2010).</w:t>
      </w:r>
    </w:p>
    <w:p w:rsidR="00B45200" w:rsidRDefault="00B52ABA" w:rsidP="00B45200">
      <w:pPr>
        <w:pStyle w:val="ReferenceTextChar"/>
        <w:rPr>
          <w:szCs w:val="20"/>
        </w:rPr>
      </w:pPr>
      <w:r>
        <w:rPr>
          <w:szCs w:val="20"/>
        </w:rPr>
        <w:t xml:space="preserve">[9] </w:t>
      </w:r>
      <w:r w:rsidRPr="00B52ABA">
        <w:rPr>
          <w:szCs w:val="20"/>
        </w:rPr>
        <w:t xml:space="preserve">A. Mitaroff and M. Silari, ”The CERN-EU high-energy Reference Field (CERF) facility for dosimetry </w:t>
      </w:r>
      <w:r w:rsidRPr="00B52ABA">
        <w:rPr>
          <w:szCs w:val="20"/>
        </w:rPr>
        <w:lastRenderedPageBreak/>
        <w:t>at commercial flight altitudes and in space”, Radiation Protection Dosimetry, 102:7–22, (2002).</w:t>
      </w:r>
    </w:p>
    <w:p w:rsidR="00B52ABA" w:rsidRPr="00B52ABA" w:rsidRDefault="00B52ABA" w:rsidP="00B52ABA">
      <w:pPr>
        <w:pStyle w:val="ReferenceTextChar"/>
        <w:rPr>
          <w:szCs w:val="20"/>
        </w:rPr>
      </w:pPr>
      <w:r>
        <w:rPr>
          <w:szCs w:val="20"/>
        </w:rPr>
        <w:t>[10]</w:t>
      </w:r>
      <w:r>
        <w:rPr>
          <w:szCs w:val="20"/>
        </w:rPr>
        <w:tab/>
      </w:r>
      <w:r w:rsidRPr="00B52ABA">
        <w:rPr>
          <w:szCs w:val="20"/>
        </w:rPr>
        <w:t>T. Wijnands, C. Pignard, and R. Tesarek., ”An on line radiation monitoring system for the LHC machine and experimental caverns”, 12th Workshop on Electronics for LHC and Future Experiments, Conference proceedings, (2006).</w:t>
      </w:r>
    </w:p>
    <w:p w:rsidR="00B52ABA" w:rsidRDefault="00B52ABA" w:rsidP="00B52ABA">
      <w:pPr>
        <w:pStyle w:val="ReferenceTextChar"/>
        <w:rPr>
          <w:szCs w:val="20"/>
        </w:rPr>
      </w:pPr>
      <w:r>
        <w:rPr>
          <w:szCs w:val="20"/>
        </w:rPr>
        <w:t>[11]</w:t>
      </w:r>
      <w:r>
        <w:rPr>
          <w:szCs w:val="20"/>
        </w:rPr>
        <w:tab/>
      </w:r>
      <w:r w:rsidR="00013EF7">
        <w:rPr>
          <w:szCs w:val="20"/>
        </w:rPr>
        <w:t xml:space="preserve">D. Kramer et al., </w:t>
      </w:r>
      <w:r w:rsidRPr="00B52ABA">
        <w:rPr>
          <w:szCs w:val="20"/>
        </w:rPr>
        <w:t>”LHC RadMon SRAM detectors used at different voltages to determine the thermal neutron to high energy hadron fluence ratio”,  In press IEEE Transactions on Nuclear Science.</w:t>
      </w:r>
    </w:p>
    <w:p w:rsidR="007E2B1D" w:rsidRDefault="007E2B1D" w:rsidP="00B45200">
      <w:pPr>
        <w:pStyle w:val="ReferenceTextChar"/>
        <w:rPr>
          <w:rFonts w:eastAsia="MS Mincho"/>
          <w:lang w:val="en-US" w:eastAsia="ja-JP"/>
        </w:rPr>
      </w:pPr>
      <w:r>
        <w:rPr>
          <w:rFonts w:eastAsia="MS Mincho"/>
          <w:lang w:val="en-US" w:eastAsia="ja-JP"/>
        </w:rPr>
        <w:t>[12]R. Assmann et al.</w:t>
      </w:r>
      <w:r w:rsidRPr="00FB5BB0">
        <w:rPr>
          <w:rFonts w:eastAsia="MS Mincho"/>
          <w:lang w:val="en-US" w:eastAsia="ja-JP"/>
        </w:rPr>
        <w:t xml:space="preserve">, </w:t>
      </w:r>
      <w:r>
        <w:rPr>
          <w:rFonts w:eastAsia="MS Mincho"/>
          <w:lang w:val="en-US" w:eastAsia="ja-JP"/>
        </w:rPr>
        <w:t>“</w:t>
      </w:r>
      <w:r w:rsidRPr="007E2B1D">
        <w:rPr>
          <w:rFonts w:eastAsia="MS Mincho"/>
          <w:bCs/>
          <w:lang w:eastAsia="ja-JP"/>
        </w:rPr>
        <w:t>Tracking simulations and detailed calculation of loss patterns</w:t>
      </w:r>
      <w:r>
        <w:rPr>
          <w:rFonts w:eastAsia="MS Mincho"/>
          <w:bCs/>
          <w:lang w:eastAsia="ja-JP"/>
        </w:rPr>
        <w:t>”</w:t>
      </w:r>
      <w:r w:rsidRPr="007E2B1D">
        <w:rPr>
          <w:rFonts w:eastAsia="MS Mincho"/>
          <w:bCs/>
          <w:lang w:eastAsia="ja-JP"/>
        </w:rPr>
        <w:t>. Collimation Working Group, CERN</w:t>
      </w:r>
      <w:r>
        <w:rPr>
          <w:rFonts w:eastAsia="MS Mincho"/>
          <w:lang w:val="en-US" w:eastAsia="ja-JP"/>
        </w:rPr>
        <w:t>.</w:t>
      </w:r>
    </w:p>
    <w:p w:rsidR="00B45200" w:rsidRDefault="007E2B1D" w:rsidP="00B45200">
      <w:pPr>
        <w:pStyle w:val="ReferenceTextChar"/>
        <w:rPr>
          <w:rFonts w:eastAsia="MS Mincho"/>
          <w:lang w:val="en-US" w:eastAsia="ja-JP"/>
        </w:rPr>
      </w:pPr>
      <w:r>
        <w:rPr>
          <w:rFonts w:eastAsia="MS Mincho"/>
          <w:lang w:val="en-US" w:eastAsia="ja-JP"/>
        </w:rPr>
        <w:t>[13]</w:t>
      </w:r>
      <w:r>
        <w:rPr>
          <w:rFonts w:eastAsia="MS Mincho"/>
          <w:lang w:val="en-US" w:eastAsia="ja-JP"/>
        </w:rPr>
        <w:tab/>
        <w:t>M.</w:t>
      </w:r>
      <w:r w:rsidR="00297CD6">
        <w:rPr>
          <w:rFonts w:eastAsia="MS Mincho"/>
          <w:lang w:val="en-US" w:eastAsia="ja-JP"/>
        </w:rPr>
        <w:t xml:space="preserve"> </w:t>
      </w:r>
      <w:r w:rsidR="00297CD6" w:rsidRPr="00297CD6">
        <w:rPr>
          <w:rFonts w:eastAsia="MS Mincho"/>
          <w:lang w:val="en-US" w:eastAsia="ja-JP"/>
        </w:rPr>
        <w:t xml:space="preserve">Brugger, </w:t>
      </w:r>
      <w:r w:rsidR="00297CD6">
        <w:rPr>
          <w:rFonts w:eastAsia="MS Mincho"/>
          <w:lang w:val="en-US" w:eastAsia="ja-JP"/>
        </w:rPr>
        <w:t xml:space="preserve">F. </w:t>
      </w:r>
      <w:r w:rsidR="00297CD6" w:rsidRPr="00297CD6">
        <w:rPr>
          <w:rFonts w:eastAsia="MS Mincho"/>
          <w:lang w:val="en-US" w:eastAsia="ja-JP"/>
        </w:rPr>
        <w:t xml:space="preserve">Cerutti, </w:t>
      </w:r>
      <w:r w:rsidR="00297CD6">
        <w:rPr>
          <w:rFonts w:eastAsia="MS Mincho"/>
          <w:lang w:val="en-US" w:eastAsia="ja-JP"/>
        </w:rPr>
        <w:t>A.</w:t>
      </w:r>
      <w:r w:rsidR="00297CD6" w:rsidRPr="00297CD6">
        <w:rPr>
          <w:rFonts w:eastAsia="MS Mincho"/>
          <w:lang w:val="en-US" w:eastAsia="ja-JP"/>
        </w:rPr>
        <w:t xml:space="preserve"> Ferrari, </w:t>
      </w:r>
      <w:r w:rsidR="00297CD6">
        <w:rPr>
          <w:rFonts w:eastAsia="MS Mincho"/>
          <w:lang w:val="en-US" w:eastAsia="ja-JP"/>
        </w:rPr>
        <w:t>M.</w:t>
      </w:r>
      <w:r w:rsidR="00297CD6" w:rsidRPr="00297CD6">
        <w:rPr>
          <w:rFonts w:eastAsia="MS Mincho"/>
          <w:lang w:val="en-US" w:eastAsia="ja-JP"/>
        </w:rPr>
        <w:t xml:space="preserve"> </w:t>
      </w:r>
      <w:proofErr w:type="spellStart"/>
      <w:r w:rsidR="00297CD6" w:rsidRPr="00297CD6">
        <w:rPr>
          <w:rFonts w:eastAsia="MS Mincho"/>
          <w:lang w:val="en-US" w:eastAsia="ja-JP"/>
        </w:rPr>
        <w:t>Magistris</w:t>
      </w:r>
      <w:proofErr w:type="spellEnd"/>
      <w:r w:rsidR="00297CD6" w:rsidRPr="00297CD6">
        <w:rPr>
          <w:rFonts w:eastAsia="MS Mincho"/>
          <w:lang w:val="en-US" w:eastAsia="ja-JP"/>
        </w:rPr>
        <w:t xml:space="preserve">, </w:t>
      </w:r>
      <w:r w:rsidR="00EF035A">
        <w:rPr>
          <w:rFonts w:eastAsia="MS Mincho"/>
          <w:lang w:val="en-US" w:eastAsia="ja-JP"/>
        </w:rPr>
        <w:br/>
      </w:r>
      <w:r w:rsidR="00297CD6" w:rsidRPr="00297CD6">
        <w:rPr>
          <w:rFonts w:eastAsia="MS Mincho"/>
          <w:lang w:val="en-US" w:eastAsia="ja-JP"/>
        </w:rPr>
        <w:t>M</w:t>
      </w:r>
      <w:r w:rsidR="00297CD6">
        <w:rPr>
          <w:rFonts w:eastAsia="MS Mincho"/>
          <w:lang w:val="en-US" w:eastAsia="ja-JP"/>
        </w:rPr>
        <w:t>.</w:t>
      </w:r>
      <w:r w:rsidR="00297CD6" w:rsidRPr="00297CD6">
        <w:rPr>
          <w:rFonts w:eastAsia="MS Mincho"/>
          <w:lang w:val="en-US" w:eastAsia="ja-JP"/>
        </w:rPr>
        <w:t xml:space="preserve"> Santana-</w:t>
      </w:r>
      <w:proofErr w:type="spellStart"/>
      <w:r w:rsidR="00297CD6" w:rsidRPr="00297CD6">
        <w:rPr>
          <w:rFonts w:eastAsia="MS Mincho"/>
          <w:lang w:val="en-US" w:eastAsia="ja-JP"/>
        </w:rPr>
        <w:t>Leitner</w:t>
      </w:r>
      <w:proofErr w:type="spellEnd"/>
      <w:r w:rsidR="00297CD6" w:rsidRPr="00297CD6">
        <w:rPr>
          <w:rFonts w:eastAsia="MS Mincho"/>
          <w:lang w:val="en-US" w:eastAsia="ja-JP"/>
        </w:rPr>
        <w:t xml:space="preserve">, </w:t>
      </w:r>
      <w:r w:rsidR="00297CD6">
        <w:rPr>
          <w:rFonts w:eastAsia="MS Mincho"/>
          <w:lang w:val="en-US" w:eastAsia="ja-JP"/>
        </w:rPr>
        <w:t>A.</w:t>
      </w:r>
      <w:r w:rsidR="00297CD6" w:rsidRPr="00297CD6">
        <w:rPr>
          <w:rFonts w:eastAsia="MS Mincho"/>
          <w:lang w:val="en-US" w:eastAsia="ja-JP"/>
        </w:rPr>
        <w:t xml:space="preserve"> </w:t>
      </w:r>
      <w:proofErr w:type="spellStart"/>
      <w:r w:rsidR="00297CD6" w:rsidRPr="00297CD6">
        <w:rPr>
          <w:rFonts w:eastAsia="MS Mincho"/>
          <w:lang w:val="en-US" w:eastAsia="ja-JP"/>
        </w:rPr>
        <w:t>Tsoulou</w:t>
      </w:r>
      <w:proofErr w:type="spellEnd"/>
      <w:r w:rsidR="00297CD6" w:rsidRPr="00297CD6">
        <w:rPr>
          <w:rFonts w:eastAsia="MS Mincho"/>
          <w:lang w:val="en-US" w:eastAsia="ja-JP"/>
        </w:rPr>
        <w:t xml:space="preserve">, </w:t>
      </w:r>
      <w:r w:rsidR="00297CD6">
        <w:rPr>
          <w:rFonts w:eastAsia="MS Mincho"/>
          <w:lang w:val="en-US" w:eastAsia="ja-JP"/>
        </w:rPr>
        <w:t>V.</w:t>
      </w:r>
      <w:r w:rsidR="00297CD6" w:rsidRPr="00297CD6">
        <w:rPr>
          <w:rFonts w:eastAsia="MS Mincho"/>
          <w:lang w:val="en-US" w:eastAsia="ja-JP"/>
        </w:rPr>
        <w:t xml:space="preserve"> Vlachoudis</w:t>
      </w:r>
      <w:r w:rsidRPr="00FB5BB0">
        <w:rPr>
          <w:rFonts w:eastAsia="MS Mincho"/>
          <w:lang w:val="en-US" w:eastAsia="ja-JP"/>
        </w:rPr>
        <w:t xml:space="preserve">, </w:t>
      </w:r>
      <w:r>
        <w:rPr>
          <w:rFonts w:eastAsia="MS Mincho"/>
          <w:lang w:val="en-US" w:eastAsia="ja-JP"/>
        </w:rPr>
        <w:t>“</w:t>
      </w:r>
      <w:r w:rsidRPr="00C2283D">
        <w:rPr>
          <w:rFonts w:eastAsia="MS Mincho"/>
          <w:bCs/>
          <w:lang w:eastAsia="ja-JP"/>
        </w:rPr>
        <w:t>Technical Description of the implementation of IR7 section at LHC with the FLUKA transport code</w:t>
      </w:r>
      <w:r>
        <w:rPr>
          <w:rFonts w:eastAsia="MS Mincho"/>
          <w:bCs/>
          <w:lang w:eastAsia="ja-JP"/>
        </w:rPr>
        <w:t>”</w:t>
      </w:r>
      <w:r>
        <w:rPr>
          <w:rFonts w:eastAsia="MS Mincho"/>
          <w:lang w:val="en-US" w:eastAsia="ja-JP"/>
        </w:rPr>
        <w:t>, Internal Note CERN-AB-Note-2008-031 (2008</w:t>
      </w:r>
      <w:r w:rsidRPr="00FB5BB0">
        <w:rPr>
          <w:rFonts w:eastAsia="MS Mincho"/>
          <w:lang w:val="en-US" w:eastAsia="ja-JP"/>
        </w:rPr>
        <w:t>)</w:t>
      </w:r>
      <w:r>
        <w:rPr>
          <w:rFonts w:eastAsia="MS Mincho"/>
          <w:lang w:val="en-US" w:eastAsia="ja-JP"/>
        </w:rPr>
        <w:t xml:space="preserve"> and </w:t>
      </w:r>
      <w:r w:rsidRPr="00C2283D">
        <w:rPr>
          <w:rFonts w:eastAsia="MS Mincho"/>
          <w:lang w:val="en-US" w:eastAsia="ja-JP"/>
        </w:rPr>
        <w:t>further developments by the CERN FLUKA team</w:t>
      </w:r>
      <w:r>
        <w:rPr>
          <w:rFonts w:eastAsia="MS Mincho"/>
          <w:lang w:val="en-US" w:eastAsia="ja-JP"/>
        </w:rPr>
        <w:t xml:space="preserve"> (2011).</w:t>
      </w:r>
    </w:p>
    <w:p w:rsidR="00195AD5" w:rsidRDefault="00195AD5" w:rsidP="00B45200">
      <w:pPr>
        <w:pStyle w:val="ReferenceTextChar"/>
        <w:rPr>
          <w:rFonts w:eastAsia="MS Mincho"/>
          <w:lang w:val="en-US" w:eastAsia="ja-JP"/>
        </w:rPr>
      </w:pPr>
      <w:r w:rsidRPr="00D673AF">
        <w:rPr>
          <w:rFonts w:eastAsia="MS Mincho"/>
          <w:lang w:val="de-CH" w:eastAsia="ja-JP"/>
        </w:rPr>
        <w:t>[14]</w:t>
      </w:r>
      <w:r w:rsidRPr="00D673AF">
        <w:rPr>
          <w:rFonts w:eastAsia="MS Mincho"/>
          <w:lang w:val="de-CH" w:eastAsia="ja-JP"/>
        </w:rPr>
        <w:tab/>
        <w:t xml:space="preserve">D. Kramer, M. Brugger, V. Kluspak, C. Pignard, K. Røed, G. Spiezia, L. Viererbl, and T. Wijnands. </w:t>
      </w:r>
      <w:r>
        <w:rPr>
          <w:rFonts w:eastAsia="MS Mincho"/>
          <w:lang w:val="en-US" w:eastAsia="ja-JP"/>
        </w:rPr>
        <w:t>“</w:t>
      </w:r>
      <w:r w:rsidRPr="00195AD5">
        <w:rPr>
          <w:rFonts w:eastAsia="MS Mincho"/>
          <w:lang w:val="en-US" w:eastAsia="ja-JP"/>
        </w:rPr>
        <w:t>LHC RadMon SRAM detectors used at different voltages to determine the thermal neutron to high energy hadron fluence ratio</w:t>
      </w:r>
      <w:r>
        <w:rPr>
          <w:rFonts w:eastAsia="MS Mincho"/>
          <w:lang w:val="en-US" w:eastAsia="ja-JP"/>
        </w:rPr>
        <w:t>”</w:t>
      </w:r>
      <w:r w:rsidRPr="00195AD5">
        <w:rPr>
          <w:rFonts w:eastAsia="MS Mincho"/>
          <w:lang w:val="en-US" w:eastAsia="ja-JP"/>
        </w:rPr>
        <w:t>, In press IEEE Transactions on Nuclear Science.</w:t>
      </w:r>
    </w:p>
    <w:p w:rsidR="000D72E6" w:rsidRDefault="000D72E6" w:rsidP="00B45200">
      <w:pPr>
        <w:pStyle w:val="ReferenceTextChar"/>
        <w:rPr>
          <w:rFonts w:eastAsia="MS Mincho"/>
          <w:lang w:val="en-US" w:eastAsia="ja-JP"/>
        </w:rPr>
      </w:pPr>
      <w:proofErr w:type="gramStart"/>
      <w:r>
        <w:rPr>
          <w:rFonts w:eastAsia="MS Mincho"/>
          <w:lang w:val="en-US" w:eastAsia="ja-JP"/>
        </w:rPr>
        <w:t>[1</w:t>
      </w:r>
      <w:r w:rsidR="00195AD5">
        <w:rPr>
          <w:rFonts w:eastAsia="MS Mincho"/>
          <w:lang w:val="en-US" w:eastAsia="ja-JP"/>
        </w:rPr>
        <w:t>5</w:t>
      </w:r>
      <w:r>
        <w:rPr>
          <w:rFonts w:eastAsia="MS Mincho"/>
          <w:lang w:val="en-US" w:eastAsia="ja-JP"/>
        </w:rPr>
        <w:t>]</w:t>
      </w:r>
      <w:r>
        <w:rPr>
          <w:rFonts w:eastAsia="MS Mincho"/>
          <w:lang w:val="en-US" w:eastAsia="ja-JP"/>
        </w:rPr>
        <w:tab/>
        <w:t xml:space="preserve">K. </w:t>
      </w:r>
      <w:proofErr w:type="spellStart"/>
      <w:r>
        <w:rPr>
          <w:rFonts w:eastAsia="MS Mincho"/>
          <w:lang w:val="en-US" w:eastAsia="ja-JP"/>
        </w:rPr>
        <w:t>R</w:t>
      </w:r>
      <w:r w:rsidR="00CD372A">
        <w:rPr>
          <w:rFonts w:eastAsia="MS Mincho"/>
          <w:lang w:val="en-US" w:eastAsia="ja-JP"/>
        </w:rPr>
        <w:t>ø</w:t>
      </w:r>
      <w:r>
        <w:rPr>
          <w:rFonts w:eastAsia="MS Mincho"/>
          <w:lang w:val="en-US" w:eastAsia="ja-JP"/>
        </w:rPr>
        <w:t>ed</w:t>
      </w:r>
      <w:proofErr w:type="spellEnd"/>
      <w:r>
        <w:rPr>
          <w:rFonts w:eastAsia="MS Mincho"/>
          <w:lang w:val="en-US" w:eastAsia="ja-JP"/>
        </w:rPr>
        <w:t>, M. Brugger, C. Pignard, "</w:t>
      </w:r>
      <w:r w:rsidRPr="000D72E6">
        <w:rPr>
          <w:rFonts w:eastAsia="MS Mincho"/>
          <w:lang w:val="en-US" w:eastAsia="ja-JP"/>
        </w:rPr>
        <w:t>PTB Irradiation tests of the</w:t>
      </w:r>
      <w:r w:rsidR="00195AD5">
        <w:rPr>
          <w:rFonts w:eastAsia="MS Mincho"/>
          <w:lang w:val="en-US" w:eastAsia="ja-JP"/>
        </w:rPr>
        <w:t xml:space="preserve"> LHC Radiation Monitor (RadMon)”, CERN </w:t>
      </w:r>
      <w:r w:rsidR="00195AD5" w:rsidRPr="00195AD5">
        <w:rPr>
          <w:rFonts w:eastAsia="MS Mincho"/>
          <w:lang w:val="en-US" w:eastAsia="ja-JP"/>
        </w:rPr>
        <w:t>CERN-ATS-Note-2011-012 TECH</w:t>
      </w:r>
      <w:r w:rsidR="00195AD5">
        <w:rPr>
          <w:rFonts w:eastAsia="MS Mincho"/>
          <w:lang w:val="en-US" w:eastAsia="ja-JP"/>
        </w:rPr>
        <w:t>, (2010).</w:t>
      </w:r>
      <w:proofErr w:type="gramEnd"/>
    </w:p>
    <w:p w:rsidR="00981C96" w:rsidRDefault="00A65CFF" w:rsidP="00724721">
      <w:pPr>
        <w:pStyle w:val="ReferenceTextChar"/>
        <w:rPr>
          <w:rFonts w:eastAsia="MS Mincho"/>
          <w:lang w:val="en-US" w:eastAsia="ja-JP"/>
        </w:rPr>
      </w:pPr>
      <w:r>
        <w:rPr>
          <w:rFonts w:eastAsia="MS Mincho"/>
          <w:lang w:val="en-US" w:eastAsia="ja-JP"/>
        </w:rPr>
        <w:t>[16]</w:t>
      </w:r>
      <w:r>
        <w:rPr>
          <w:rFonts w:eastAsia="MS Mincho"/>
          <w:lang w:val="en-US" w:eastAsia="ja-JP"/>
        </w:rPr>
        <w:tab/>
      </w:r>
      <w:hyperlink r:id="rId27" w:history="1">
        <w:r w:rsidRPr="00743BF1">
          <w:rPr>
            <w:rStyle w:val="Hyperlink"/>
            <w:rFonts w:eastAsia="MS Mincho"/>
            <w:lang w:val="en-US" w:eastAsia="ja-JP"/>
          </w:rPr>
          <w:t>www.cern.ch/r2e</w:t>
        </w:r>
      </w:hyperlink>
      <w:r>
        <w:rPr>
          <w:rFonts w:eastAsia="MS Mincho"/>
          <w:lang w:val="en-US" w:eastAsia="ja-JP"/>
        </w:rPr>
        <w:t xml:space="preserve"> </w:t>
      </w:r>
    </w:p>
    <w:p w:rsidR="00421C68" w:rsidRDefault="00421C68" w:rsidP="00724721">
      <w:pPr>
        <w:pStyle w:val="ReferenceTextChar"/>
        <w:rPr>
          <w:rFonts w:eastAsia="MS Mincho"/>
          <w:lang w:val="en-US" w:eastAsia="ja-JP"/>
        </w:rPr>
      </w:pPr>
      <w:r>
        <w:rPr>
          <w:rFonts w:eastAsia="MS Mincho"/>
          <w:lang w:val="en-US" w:eastAsia="ja-JP"/>
        </w:rPr>
        <w:t>[17]</w:t>
      </w:r>
      <w:r>
        <w:rPr>
          <w:rFonts w:eastAsia="MS Mincho"/>
          <w:lang w:val="en-US" w:eastAsia="ja-JP"/>
        </w:rPr>
        <w:tab/>
        <w:t>Chamonix 2010 session on “Radiation to Electronics”, Session-6, Chamonix, (2010).</w:t>
      </w:r>
      <w:r>
        <w:rPr>
          <w:rFonts w:eastAsia="MS Mincho"/>
          <w:lang w:val="en-US" w:eastAsia="ja-JP"/>
        </w:rPr>
        <w:br/>
      </w:r>
      <w:hyperlink r:id="rId28" w:history="1">
        <w:r w:rsidRPr="00E90F66">
          <w:rPr>
            <w:rStyle w:val="Hyperlink"/>
            <w:rFonts w:eastAsia="MS Mincho"/>
            <w:lang w:val="en-US" w:eastAsia="ja-JP"/>
          </w:rPr>
          <w:t>http://indico.cern.ch/conferenceOtherViews.py?view=standard&amp;confId=67839</w:t>
        </w:r>
      </w:hyperlink>
      <w:r>
        <w:rPr>
          <w:rFonts w:eastAsia="MS Mincho"/>
          <w:lang w:val="en-US" w:eastAsia="ja-JP"/>
        </w:rPr>
        <w:t xml:space="preserve"> </w:t>
      </w:r>
    </w:p>
    <w:p w:rsidR="00CC6008" w:rsidRDefault="00CC6008" w:rsidP="00724721">
      <w:pPr>
        <w:pStyle w:val="ReferenceTextChar"/>
        <w:rPr>
          <w:rFonts w:eastAsia="MS Mincho"/>
          <w:lang w:val="en-US" w:eastAsia="ja-JP"/>
        </w:rPr>
      </w:pPr>
      <w:r>
        <w:rPr>
          <w:rFonts w:eastAsia="MS Mincho"/>
          <w:lang w:val="en-US" w:eastAsia="ja-JP"/>
        </w:rPr>
        <w:t>[18]</w:t>
      </w:r>
      <w:r>
        <w:rPr>
          <w:rFonts w:eastAsia="MS Mincho"/>
          <w:lang w:val="en-US" w:eastAsia="ja-JP"/>
        </w:rPr>
        <w:tab/>
        <w:t>M. Brugger et al., “</w:t>
      </w:r>
      <w:r w:rsidRPr="00CC6008">
        <w:rPr>
          <w:rFonts w:eastAsia="MS Mincho"/>
          <w:lang w:val="en-US" w:eastAsia="ja-JP"/>
        </w:rPr>
        <w:t>Implications of 10</w:t>
      </w:r>
      <w:r w:rsidRPr="00CC6008">
        <w:rPr>
          <w:rFonts w:eastAsia="MS Mincho"/>
          <w:vertAlign w:val="superscript"/>
          <w:lang w:val="en-US" w:eastAsia="ja-JP"/>
        </w:rPr>
        <w:t>32</w:t>
      </w:r>
      <w:r w:rsidRPr="00CC6008">
        <w:rPr>
          <w:rFonts w:eastAsia="MS Mincho"/>
          <w:lang w:val="en-US" w:eastAsia="ja-JP"/>
        </w:rPr>
        <w:t xml:space="preserve"> for R2E</w:t>
      </w:r>
      <w:r>
        <w:rPr>
          <w:rFonts w:eastAsia="MS Mincho"/>
          <w:lang w:val="en-US" w:eastAsia="ja-JP"/>
        </w:rPr>
        <w:t>”, R2E presentation to the LMC, September 1</w:t>
      </w:r>
      <w:r w:rsidRPr="00CC6008">
        <w:rPr>
          <w:rFonts w:eastAsia="MS Mincho"/>
          <w:vertAlign w:val="superscript"/>
          <w:lang w:val="en-US" w:eastAsia="ja-JP"/>
        </w:rPr>
        <w:t>st</w:t>
      </w:r>
      <w:r>
        <w:rPr>
          <w:rFonts w:eastAsia="MS Mincho"/>
          <w:lang w:val="en-US" w:eastAsia="ja-JP"/>
        </w:rPr>
        <w:t xml:space="preserve"> 2010.</w:t>
      </w:r>
    </w:p>
    <w:p w:rsidR="003946D5" w:rsidRDefault="00CC6008" w:rsidP="00724721">
      <w:pPr>
        <w:pStyle w:val="ReferenceTextChar"/>
        <w:rPr>
          <w:rFonts w:eastAsia="MS Mincho"/>
          <w:lang w:val="en-US" w:eastAsia="ja-JP"/>
        </w:rPr>
      </w:pPr>
      <w:r>
        <w:rPr>
          <w:rFonts w:eastAsia="MS Mincho"/>
          <w:lang w:val="en-US" w:eastAsia="ja-JP"/>
        </w:rPr>
        <w:tab/>
      </w:r>
      <w:hyperlink r:id="rId29" w:history="1">
        <w:r w:rsidRPr="00E90F66">
          <w:rPr>
            <w:rStyle w:val="Hyperlink"/>
            <w:rFonts w:eastAsia="MS Mincho"/>
            <w:lang w:val="en-US" w:eastAsia="ja-JP"/>
          </w:rPr>
          <w:t>https://espace.cern.ch/lhc-machine-committee/Presentations/1/lmc_67/LMC_67f.pdf</w:t>
        </w:r>
      </w:hyperlink>
    </w:p>
    <w:p w:rsidR="003946D5" w:rsidRDefault="003946D5" w:rsidP="00724721">
      <w:pPr>
        <w:pStyle w:val="ReferenceTextChar"/>
        <w:rPr>
          <w:rFonts w:eastAsia="MS Mincho"/>
          <w:lang w:val="en-US" w:eastAsia="ja-JP"/>
        </w:rPr>
      </w:pPr>
      <w:r>
        <w:rPr>
          <w:rFonts w:eastAsia="MS Mincho"/>
          <w:lang w:val="en-US" w:eastAsia="ja-JP"/>
        </w:rPr>
        <w:t>[19]</w:t>
      </w:r>
      <w:r>
        <w:rPr>
          <w:rFonts w:eastAsia="MS Mincho"/>
          <w:lang w:val="en-US" w:eastAsia="ja-JP"/>
        </w:rPr>
        <w:tab/>
        <w:t xml:space="preserve">Radiation Working Group (RadWG), </w:t>
      </w:r>
      <w:hyperlink r:id="rId30" w:history="1">
        <w:r w:rsidRPr="00E90F66">
          <w:rPr>
            <w:rStyle w:val="Hyperlink"/>
            <w:rFonts w:eastAsia="MS Mincho"/>
            <w:lang w:val="en-US" w:eastAsia="ja-JP"/>
          </w:rPr>
          <w:t>www.cern.ch/radwg</w:t>
        </w:r>
      </w:hyperlink>
      <w:r>
        <w:rPr>
          <w:rFonts w:eastAsia="MS Mincho"/>
          <w:lang w:val="en-US" w:eastAsia="ja-JP"/>
        </w:rPr>
        <w:t xml:space="preserve"> </w:t>
      </w:r>
    </w:p>
    <w:p w:rsidR="00604F75" w:rsidRDefault="00604F75" w:rsidP="00604F75">
      <w:pPr>
        <w:pStyle w:val="ReferenceTextChar"/>
        <w:rPr>
          <w:rFonts w:eastAsia="MS Mincho"/>
          <w:lang w:val="en-US" w:eastAsia="ja-JP"/>
        </w:rPr>
      </w:pPr>
      <w:r>
        <w:rPr>
          <w:rFonts w:eastAsia="MS Mincho"/>
          <w:lang w:val="en-US" w:eastAsia="ja-JP"/>
        </w:rPr>
        <w:t>[20]</w:t>
      </w:r>
      <w:r>
        <w:rPr>
          <w:rFonts w:eastAsia="MS Mincho"/>
          <w:lang w:val="en-US" w:eastAsia="ja-JP"/>
        </w:rPr>
        <w:tab/>
        <w:t>P. Dahlen et al., “</w:t>
      </w:r>
      <w:r w:rsidR="000C145B">
        <w:rPr>
          <w:rFonts w:eastAsia="MS Mincho"/>
          <w:lang w:val="en-US" w:eastAsia="ja-JP"/>
        </w:rPr>
        <w:t>Single Event Effects in WIC</w:t>
      </w:r>
      <w:r>
        <w:rPr>
          <w:rFonts w:eastAsia="MS Mincho"/>
          <w:lang w:val="en-US" w:eastAsia="ja-JP"/>
        </w:rPr>
        <w:t>”, Presentations in the RadWG on the TI8 failure and CNRAD equipment tests:</w:t>
      </w:r>
    </w:p>
    <w:p w:rsidR="00604F75" w:rsidRDefault="00604F75" w:rsidP="00604F75">
      <w:pPr>
        <w:pStyle w:val="ReferenceTextChar"/>
        <w:rPr>
          <w:rFonts w:eastAsia="MS Mincho"/>
          <w:lang w:val="en-US" w:eastAsia="ja-JP"/>
        </w:rPr>
      </w:pPr>
      <w:r>
        <w:rPr>
          <w:rFonts w:eastAsia="MS Mincho"/>
          <w:lang w:val="en-US" w:eastAsia="ja-JP"/>
        </w:rPr>
        <w:tab/>
      </w:r>
      <w:hyperlink r:id="rId31" w:history="1">
        <w:r w:rsidRPr="00E90F66">
          <w:rPr>
            <w:rStyle w:val="Hyperlink"/>
            <w:rFonts w:eastAsia="MS Mincho"/>
            <w:lang w:val="en-US" w:eastAsia="ja-JP"/>
          </w:rPr>
          <w:t>http://indico.cern.ch/getFile.py/access?contribId=2&amp;resId=1&amp;materialId=slides&amp;confId=61705</w:t>
        </w:r>
      </w:hyperlink>
      <w:r>
        <w:rPr>
          <w:rFonts w:eastAsia="MS Mincho"/>
          <w:lang w:val="en-US" w:eastAsia="ja-JP"/>
        </w:rPr>
        <w:t xml:space="preserve">  </w:t>
      </w:r>
      <w:hyperlink r:id="rId32" w:history="1">
        <w:r w:rsidRPr="00E90F66">
          <w:rPr>
            <w:rStyle w:val="Hyperlink"/>
            <w:rFonts w:eastAsia="MS Mincho"/>
            <w:lang w:val="en-US" w:eastAsia="ja-JP"/>
          </w:rPr>
          <w:t>http://indico.cern.ch/getFile.py/access?subContId=0&amp;contribId=0&amp;resId=1&amp;materialId=slides&amp;confId=92751</w:t>
        </w:r>
      </w:hyperlink>
      <w:r>
        <w:rPr>
          <w:rFonts w:eastAsia="MS Mincho"/>
          <w:lang w:val="en-US" w:eastAsia="ja-JP"/>
        </w:rPr>
        <w:t xml:space="preserve"> </w:t>
      </w:r>
    </w:p>
    <w:p w:rsidR="000C145B" w:rsidRDefault="000C145B" w:rsidP="00604F75">
      <w:pPr>
        <w:pStyle w:val="ReferenceTextChar"/>
        <w:rPr>
          <w:rFonts w:eastAsia="MS Mincho"/>
          <w:lang w:val="en-US" w:eastAsia="ja-JP"/>
        </w:rPr>
      </w:pPr>
      <w:r>
        <w:rPr>
          <w:rFonts w:eastAsia="MS Mincho"/>
          <w:lang w:val="en-US" w:eastAsia="ja-JP"/>
        </w:rPr>
        <w:t>[21]</w:t>
      </w:r>
      <w:r>
        <w:rPr>
          <w:rFonts w:eastAsia="MS Mincho"/>
          <w:lang w:val="en-US" w:eastAsia="ja-JP"/>
        </w:rPr>
        <w:tab/>
        <w:t>R. Denz, “Summary of QPS Events in the LHC”, RadWG Presentation, November 23</w:t>
      </w:r>
      <w:r w:rsidRPr="000C145B">
        <w:rPr>
          <w:rFonts w:eastAsia="MS Mincho"/>
          <w:vertAlign w:val="superscript"/>
          <w:lang w:val="en-US" w:eastAsia="ja-JP"/>
        </w:rPr>
        <w:t>rd</w:t>
      </w:r>
      <w:r>
        <w:rPr>
          <w:rFonts w:eastAsia="MS Mincho"/>
          <w:lang w:val="en-US" w:eastAsia="ja-JP"/>
        </w:rPr>
        <w:t xml:space="preserve"> 2010. </w:t>
      </w:r>
      <w:hyperlink r:id="rId33" w:history="1">
        <w:r w:rsidRPr="00E90F66">
          <w:rPr>
            <w:rStyle w:val="Hyperlink"/>
            <w:rFonts w:eastAsia="MS Mincho"/>
            <w:lang w:val="en-US" w:eastAsia="ja-JP"/>
          </w:rPr>
          <w:t>http://indico.cern.ch/getFile.py/access?contribId=8&amp;resId=1&amp;materialId=slides&amp;confId=113824</w:t>
        </w:r>
      </w:hyperlink>
      <w:r>
        <w:rPr>
          <w:rFonts w:eastAsia="MS Mincho"/>
          <w:lang w:val="en-US" w:eastAsia="ja-JP"/>
        </w:rPr>
        <w:t xml:space="preserve"> </w:t>
      </w:r>
    </w:p>
    <w:p w:rsidR="00604F75" w:rsidRDefault="001E0867" w:rsidP="00724721">
      <w:pPr>
        <w:pStyle w:val="ReferenceTextChar"/>
        <w:rPr>
          <w:rFonts w:eastAsia="MS Mincho"/>
          <w:lang w:val="en-US" w:eastAsia="ja-JP"/>
        </w:rPr>
      </w:pPr>
      <w:r>
        <w:rPr>
          <w:rFonts w:eastAsia="MS Mincho"/>
          <w:lang w:val="en-US" w:eastAsia="ja-JP"/>
        </w:rPr>
        <w:t>[22]</w:t>
      </w:r>
      <w:r>
        <w:rPr>
          <w:rFonts w:eastAsia="MS Mincho"/>
          <w:lang w:val="en-US" w:eastAsia="ja-JP"/>
        </w:rPr>
        <w:tab/>
        <w:t>Y. Thurel, private communication.</w:t>
      </w:r>
    </w:p>
    <w:p w:rsidR="00D6446B" w:rsidRDefault="00F73F47" w:rsidP="00724721">
      <w:pPr>
        <w:pStyle w:val="ReferenceTextChar"/>
        <w:rPr>
          <w:rFonts w:eastAsia="MS Mincho"/>
          <w:lang w:val="en-US" w:eastAsia="ja-JP"/>
        </w:rPr>
      </w:pPr>
      <w:r>
        <w:rPr>
          <w:rFonts w:eastAsia="MS Mincho"/>
          <w:lang w:val="en-US" w:eastAsia="ja-JP"/>
        </w:rPr>
        <w:t>[23]</w:t>
      </w:r>
      <w:r>
        <w:rPr>
          <w:rFonts w:eastAsia="MS Mincho"/>
          <w:lang w:val="en-US" w:eastAsia="ja-JP"/>
        </w:rPr>
        <w:tab/>
        <w:t xml:space="preserve">2010 Power-Converter on radiation tolerances, </w:t>
      </w:r>
      <w:hyperlink r:id="rId34" w:history="1">
        <w:r w:rsidRPr="00E90F66">
          <w:rPr>
            <w:rStyle w:val="Hyperlink"/>
            <w:rFonts w:eastAsia="MS Mincho"/>
            <w:lang w:val="en-US" w:eastAsia="ja-JP"/>
          </w:rPr>
          <w:t>http://indico.cern.ch/conferenceDisplay.py?confId=85477</w:t>
        </w:r>
      </w:hyperlink>
    </w:p>
    <w:p w:rsidR="00F73F47" w:rsidRDefault="00D6446B" w:rsidP="00724721">
      <w:pPr>
        <w:pStyle w:val="ReferenceTextChar"/>
        <w:rPr>
          <w:rFonts w:eastAsia="MS Mincho"/>
          <w:lang w:val="en-US" w:eastAsia="ja-JP"/>
        </w:rPr>
      </w:pPr>
      <w:r>
        <w:rPr>
          <w:rFonts w:eastAsia="MS Mincho"/>
          <w:lang w:val="en-US" w:eastAsia="ja-JP"/>
        </w:rPr>
        <w:t>[24]</w:t>
      </w:r>
      <w:r>
        <w:rPr>
          <w:rFonts w:eastAsia="MS Mincho"/>
          <w:lang w:val="en-US" w:eastAsia="ja-JP"/>
        </w:rPr>
        <w:tab/>
        <w:t>M. Lamont, “2011/2012 Operation”, these proceedings.</w:t>
      </w:r>
    </w:p>
    <w:p w:rsidR="00D6446B" w:rsidRDefault="00D6446B" w:rsidP="00724721">
      <w:pPr>
        <w:pStyle w:val="ReferenceTextChar"/>
        <w:rPr>
          <w:rFonts w:eastAsia="MS Mincho"/>
          <w:lang w:val="en-US" w:eastAsia="ja-JP"/>
        </w:rPr>
      </w:pPr>
      <w:r>
        <w:rPr>
          <w:rFonts w:eastAsia="MS Mincho"/>
          <w:lang w:val="en-US" w:eastAsia="ja-JP"/>
        </w:rPr>
        <w:lastRenderedPageBreak/>
        <w:t>[25]</w:t>
      </w:r>
      <w:r>
        <w:rPr>
          <w:rFonts w:eastAsia="MS Mincho"/>
          <w:lang w:val="en-US" w:eastAsia="ja-JP"/>
        </w:rPr>
        <w:tab/>
        <w:t>LHC Design Report</w:t>
      </w:r>
    </w:p>
    <w:p w:rsidR="00A56CB1" w:rsidRDefault="00A56CB1" w:rsidP="00724721">
      <w:pPr>
        <w:pStyle w:val="ReferenceTextChar"/>
        <w:rPr>
          <w:rFonts w:eastAsia="MS Mincho"/>
          <w:lang w:val="en-US" w:eastAsia="ja-JP"/>
        </w:rPr>
      </w:pPr>
      <w:r>
        <w:rPr>
          <w:rFonts w:eastAsia="MS Mincho"/>
          <w:lang w:val="en-US" w:eastAsia="ja-JP"/>
        </w:rPr>
        <w:t>[26]</w:t>
      </w:r>
      <w:r>
        <w:rPr>
          <w:rFonts w:eastAsia="MS Mincho"/>
          <w:lang w:val="en-US" w:eastAsia="ja-JP"/>
        </w:rPr>
        <w:tab/>
        <w:t xml:space="preserve">Power-Converter Workshop: </w:t>
      </w:r>
    </w:p>
    <w:p w:rsidR="00A56CB1" w:rsidRDefault="00A56CB1" w:rsidP="00724721">
      <w:pPr>
        <w:pStyle w:val="ReferenceTextChar"/>
        <w:rPr>
          <w:rFonts w:eastAsia="MS Mincho"/>
          <w:lang w:val="en-US" w:eastAsia="ja-JP"/>
        </w:rPr>
      </w:pPr>
      <w:r>
        <w:rPr>
          <w:rFonts w:eastAsia="MS Mincho"/>
          <w:lang w:val="en-US" w:eastAsia="ja-JP"/>
        </w:rPr>
        <w:tab/>
      </w:r>
      <w:hyperlink r:id="rId35" w:history="1">
        <w:r w:rsidRPr="00420570">
          <w:rPr>
            <w:rStyle w:val="Hyperlink"/>
            <w:rFonts w:eastAsia="MS Mincho"/>
            <w:lang w:val="en-US" w:eastAsia="ja-JP"/>
          </w:rPr>
          <w:t>http://indico.cern.ch/conferenceDisplay.py?confId=85477</w:t>
        </w:r>
      </w:hyperlink>
    </w:p>
    <w:p w:rsidR="00A56CB1" w:rsidRDefault="00A56CB1" w:rsidP="00724721">
      <w:pPr>
        <w:pStyle w:val="ReferenceTextChar"/>
        <w:rPr>
          <w:rFonts w:eastAsia="MS Mincho"/>
          <w:lang w:val="en-US" w:eastAsia="ja-JP"/>
        </w:rPr>
      </w:pPr>
      <w:r>
        <w:rPr>
          <w:rFonts w:eastAsia="MS Mincho"/>
          <w:lang w:val="en-US" w:eastAsia="ja-JP"/>
        </w:rPr>
        <w:t>[27]</w:t>
      </w:r>
      <w:r>
        <w:rPr>
          <w:rFonts w:eastAsia="MS Mincho"/>
          <w:lang w:val="en-US" w:eastAsia="ja-JP"/>
        </w:rPr>
        <w:tab/>
        <w:t>R2E Workshop:</w:t>
      </w:r>
    </w:p>
    <w:p w:rsidR="00A56CB1" w:rsidRDefault="00A56CB1" w:rsidP="00724721">
      <w:pPr>
        <w:pStyle w:val="ReferenceTextChar"/>
        <w:rPr>
          <w:rFonts w:eastAsia="MS Mincho"/>
          <w:lang w:val="en-US" w:eastAsia="ja-JP"/>
        </w:rPr>
      </w:pPr>
      <w:r>
        <w:rPr>
          <w:rFonts w:eastAsia="MS Mincho"/>
          <w:lang w:val="en-US" w:eastAsia="ja-JP"/>
        </w:rPr>
        <w:tab/>
      </w:r>
      <w:hyperlink r:id="rId36" w:history="1">
        <w:r w:rsidRPr="00420570">
          <w:rPr>
            <w:rStyle w:val="Hyperlink"/>
            <w:rFonts w:eastAsia="MS Mincho"/>
            <w:lang w:val="en-US" w:eastAsia="ja-JP"/>
          </w:rPr>
          <w:t>http://indico.cern.ch/event/R2E_Workshop_2010</w:t>
        </w:r>
      </w:hyperlink>
      <w:r>
        <w:rPr>
          <w:rFonts w:eastAsia="MS Mincho"/>
          <w:lang w:val="en-US" w:eastAsia="ja-JP"/>
        </w:rPr>
        <w:t xml:space="preserve"> </w:t>
      </w:r>
    </w:p>
    <w:p w:rsidR="00CD372A" w:rsidRDefault="00AB2BA0" w:rsidP="00724721">
      <w:pPr>
        <w:pStyle w:val="ReferenceTextChar"/>
        <w:rPr>
          <w:rFonts w:eastAsia="MS Mincho"/>
          <w:lang w:val="en-US" w:eastAsia="ja-JP"/>
        </w:rPr>
      </w:pPr>
      <w:r w:rsidRPr="00AB2BA0">
        <w:rPr>
          <w:rFonts w:eastAsia="MS Mincho"/>
          <w:lang w:val="en-US" w:eastAsia="ja-JP"/>
        </w:rPr>
        <w:t>[28]</w:t>
      </w:r>
      <w:r w:rsidRPr="00AB2BA0">
        <w:rPr>
          <w:rFonts w:eastAsia="MS Mincho"/>
          <w:lang w:val="en-US" w:eastAsia="ja-JP"/>
        </w:rPr>
        <w:tab/>
        <w:t>A.L. Perrot et al.</w:t>
      </w:r>
      <w:proofErr w:type="gramStart"/>
      <w:r w:rsidRPr="00AB2BA0">
        <w:rPr>
          <w:rFonts w:eastAsia="MS Mincho"/>
          <w:lang w:val="en-US" w:eastAsia="ja-JP"/>
        </w:rPr>
        <w:t>,</w:t>
      </w:r>
      <w:r>
        <w:rPr>
          <w:rFonts w:eastAsia="MS Mincho"/>
          <w:lang w:val="en-US" w:eastAsia="ja-JP"/>
        </w:rPr>
        <w:t xml:space="preserve"> ”</w:t>
      </w:r>
      <w:proofErr w:type="gramEnd"/>
      <w:r>
        <w:rPr>
          <w:rFonts w:eastAsia="MS Mincho"/>
          <w:lang w:val="en-US" w:eastAsia="ja-JP"/>
        </w:rPr>
        <w:t>R2E Relocations and Shielding Activities”</w:t>
      </w:r>
      <w:r w:rsidRPr="00AB2BA0">
        <w:rPr>
          <w:rFonts w:eastAsia="MS Mincho"/>
          <w:lang w:val="en-US" w:eastAsia="ja-JP"/>
        </w:rPr>
        <w:t>, these proceedings.</w:t>
      </w:r>
    </w:p>
    <w:p w:rsidR="00421C68" w:rsidRPr="00AB2BA0" w:rsidRDefault="00CD372A" w:rsidP="00724721">
      <w:pPr>
        <w:pStyle w:val="ReferenceTextChar"/>
        <w:rPr>
          <w:rFonts w:cs="Arial"/>
          <w:bCs/>
          <w:kern w:val="16"/>
          <w:sz w:val="24"/>
          <w:szCs w:val="26"/>
          <w:lang w:val="en-US"/>
        </w:rPr>
      </w:pPr>
      <w:r>
        <w:rPr>
          <w:rFonts w:eastAsia="MS Mincho"/>
          <w:lang w:val="en-US" w:eastAsia="ja-JP"/>
        </w:rPr>
        <w:t>[29]</w:t>
      </w:r>
      <w:r>
        <w:rPr>
          <w:rFonts w:eastAsia="MS Mincho"/>
          <w:lang w:val="en-US" w:eastAsia="ja-JP"/>
        </w:rPr>
        <w:tab/>
        <w:t xml:space="preserve">K. </w:t>
      </w:r>
      <w:proofErr w:type="spellStart"/>
      <w:r>
        <w:rPr>
          <w:rFonts w:eastAsia="MS Mincho"/>
          <w:lang w:val="en-US" w:eastAsia="ja-JP"/>
        </w:rPr>
        <w:t>Røed</w:t>
      </w:r>
      <w:proofErr w:type="spellEnd"/>
      <w:r>
        <w:rPr>
          <w:rFonts w:eastAsia="MS Mincho"/>
          <w:lang w:val="en-US" w:eastAsia="ja-JP"/>
        </w:rPr>
        <w:t xml:space="preserve"> et al., “Analysis of radiation fields in critical areas and scaling rules”, R2E Workshop, June 2010</w:t>
      </w:r>
      <w:r>
        <w:rPr>
          <w:rFonts w:eastAsia="MS Mincho"/>
          <w:lang w:val="en-US" w:eastAsia="ja-JP"/>
        </w:rPr>
        <w:br/>
      </w:r>
      <w:hyperlink r:id="rId37" w:history="1">
        <w:r w:rsidRPr="00EB66F4">
          <w:rPr>
            <w:rStyle w:val="Hyperlink"/>
            <w:rFonts w:eastAsia="MS Mincho"/>
            <w:lang w:val="en-US" w:eastAsia="ja-JP"/>
          </w:rPr>
          <w:t>http://indico.cern.ch/event/R2E_Workshop_2010</w:t>
        </w:r>
      </w:hyperlink>
      <w:r>
        <w:rPr>
          <w:rFonts w:eastAsia="MS Mincho"/>
          <w:lang w:val="en-US" w:eastAsia="ja-JP"/>
        </w:rPr>
        <w:t xml:space="preserve"> </w:t>
      </w:r>
    </w:p>
    <w:sectPr w:rsidR="00421C68" w:rsidRPr="00AB2BA0"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E51" w:rsidRDefault="00725E51"/>
  </w:endnote>
  <w:endnote w:type="continuationSeparator" w:id="0">
    <w:p w:rsidR="00725E51" w:rsidRDefault="00725E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E51" w:rsidRDefault="00725E51">
      <w:r>
        <w:separator/>
      </w:r>
    </w:p>
  </w:footnote>
  <w:footnote w:type="continuationSeparator" w:id="0">
    <w:p w:rsidR="00725E51" w:rsidRDefault="00725E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45pt" o:bullet="t">
        <v:imagedata r:id="rId1" o:title="artB145"/>
      </v:shape>
    </w:pict>
  </w:numPicBullet>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73BA45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278B5"/>
    <w:multiLevelType w:val="hybridMultilevel"/>
    <w:tmpl w:val="124A169C"/>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1">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497EE3"/>
    <w:multiLevelType w:val="hybridMultilevel"/>
    <w:tmpl w:val="55D41038"/>
    <w:lvl w:ilvl="0" w:tplc="B582D318">
      <w:start w:val="1"/>
      <w:numFmt w:val="decimal"/>
      <w:pStyle w:val="Equatio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6F8796C"/>
    <w:multiLevelType w:val="hybridMultilevel"/>
    <w:tmpl w:val="CE5EA04E"/>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4">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142F05F9"/>
    <w:multiLevelType w:val="hybridMultilevel"/>
    <w:tmpl w:val="86E8DC86"/>
    <w:lvl w:ilvl="0" w:tplc="0409000F">
      <w:start w:val="1"/>
      <w:numFmt w:val="decimal"/>
      <w:lvlText w:val="%1."/>
      <w:lvlJc w:val="left"/>
      <w:pPr>
        <w:tabs>
          <w:tab w:val="num" w:pos="389"/>
        </w:tabs>
        <w:ind w:left="389" w:hanging="202"/>
      </w:pPr>
      <w:rPr>
        <w:rFonts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nsid w:val="1D2259D1"/>
    <w:multiLevelType w:val="hybridMultilevel"/>
    <w:tmpl w:val="F14A2946"/>
    <w:lvl w:ilvl="0" w:tplc="08090001">
      <w:start w:val="1"/>
      <w:numFmt w:val="bullet"/>
      <w:lvlText w:val=""/>
      <w:lvlJc w:val="left"/>
      <w:pPr>
        <w:ind w:left="907" w:hanging="360"/>
      </w:pPr>
      <w:rPr>
        <w:rFonts w:ascii="Symbol" w:hAnsi="Symbol" w:hint="default"/>
      </w:rPr>
    </w:lvl>
    <w:lvl w:ilvl="1" w:tplc="08090003">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7">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33723DC"/>
    <w:multiLevelType w:val="hybridMultilevel"/>
    <w:tmpl w:val="D6A4DAEE"/>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9">
    <w:nsid w:val="253B12F5"/>
    <w:multiLevelType w:val="hybridMultilevel"/>
    <w:tmpl w:val="09F43226"/>
    <w:lvl w:ilvl="0" w:tplc="100C0017">
      <w:start w:val="1"/>
      <w:numFmt w:val="lowerLetter"/>
      <w:lvlText w:val="%1)"/>
      <w:lvlJc w:val="left"/>
      <w:pPr>
        <w:ind w:left="547" w:hanging="360"/>
      </w:pPr>
      <w:rPr>
        <w:rFonts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0">
    <w:nsid w:val="280D2EB0"/>
    <w:multiLevelType w:val="hybridMultilevel"/>
    <w:tmpl w:val="7DB4FC1E"/>
    <w:lvl w:ilvl="0" w:tplc="77D49DCE">
      <w:start w:val="1"/>
      <w:numFmt w:val="decimal"/>
      <w:pStyle w:val="Tablecaption"/>
      <w:lvlText w:val="Table  %1"/>
      <w:lvlJc w:val="left"/>
      <w:pPr>
        <w:tabs>
          <w:tab w:val="num" w:pos="2490"/>
        </w:tabs>
        <w:ind w:left="2490" w:hanging="420"/>
      </w:pPr>
      <w:rPr>
        <w:rFonts w:ascii="Times New Roman" w:hAnsi="Times New Roman" w:hint="default"/>
        <w:b/>
        <w:i w:val="0"/>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3527BA0"/>
    <w:multiLevelType w:val="hybridMultilevel"/>
    <w:tmpl w:val="EE8E7576"/>
    <w:lvl w:ilvl="0" w:tplc="04090017">
      <w:start w:val="1"/>
      <w:numFmt w:val="lowerLetter"/>
      <w:lvlText w:val="%1)"/>
      <w:lvlJc w:val="left"/>
      <w:pPr>
        <w:ind w:left="547" w:hanging="360"/>
      </w:pPr>
      <w:rPr>
        <w:rFonts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2">
    <w:nsid w:val="43850262"/>
    <w:multiLevelType w:val="hybridMultilevel"/>
    <w:tmpl w:val="B2E80112"/>
    <w:lvl w:ilvl="0" w:tplc="253269E4">
      <w:start w:val="1"/>
      <w:numFmt w:val="decimal"/>
      <w:pStyle w:val="Figurecaption"/>
      <w:lvlText w:val="Fig.  %1"/>
      <w:lvlJc w:val="left"/>
      <w:pPr>
        <w:tabs>
          <w:tab w:val="num" w:pos="1700"/>
        </w:tabs>
        <w:ind w:left="1700" w:hanging="170"/>
      </w:pPr>
      <w:rPr>
        <w:rFonts w:ascii="Times New Roman" w:hAnsi="Times New Roman" w:hint="default"/>
        <w:b/>
        <w:i w:val="0"/>
        <w:strike w:val="0"/>
        <w:dstrike w:val="0"/>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4DCA11A4"/>
    <w:multiLevelType w:val="hybridMultilevel"/>
    <w:tmpl w:val="296679DC"/>
    <w:lvl w:ilvl="0" w:tplc="BDD04664">
      <w:start w:val="1"/>
      <w:numFmt w:val="decimal"/>
      <w:lvlText w:val="%1)"/>
      <w:lvlJc w:val="left"/>
      <w:pPr>
        <w:ind w:left="720" w:hanging="360"/>
      </w:pPr>
      <w:rPr>
        <w:rFonts w:hint="default"/>
      </w:rPr>
    </w:lvl>
    <w:lvl w:ilvl="1" w:tplc="D55A84DE">
      <w:start w:val="20"/>
      <w:numFmt w:val="bullet"/>
      <w:lvlText w:val="-"/>
      <w:lvlJc w:val="left"/>
      <w:pPr>
        <w:ind w:left="1440" w:hanging="360"/>
      </w:pPr>
      <w:rPr>
        <w:rFonts w:ascii="Times New Roman" w:eastAsia="Times New Roman" w:hAnsi="Times New Roman" w:cs="Times New Roman"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nsid w:val="51DA6F5C"/>
    <w:multiLevelType w:val="hybridMultilevel"/>
    <w:tmpl w:val="FD44D7D0"/>
    <w:lvl w:ilvl="0" w:tplc="74B2477E">
      <w:start w:val="5"/>
      <w:numFmt w:val="bullet"/>
      <w:lvlText w:val="-"/>
      <w:lvlJc w:val="left"/>
      <w:pPr>
        <w:ind w:left="547" w:hanging="360"/>
      </w:pPr>
      <w:rPr>
        <w:rFonts w:ascii="Times New Roman" w:eastAsia="Times New Roman" w:hAnsi="Times New Roman" w:cs="Times New Roman"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5">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6">
    <w:nsid w:val="624A0646"/>
    <w:multiLevelType w:val="hybridMultilevel"/>
    <w:tmpl w:val="B86C76E4"/>
    <w:lvl w:ilvl="0" w:tplc="D55A84DE">
      <w:start w:val="20"/>
      <w:numFmt w:val="bullet"/>
      <w:lvlText w:val="-"/>
      <w:lvlJc w:val="left"/>
      <w:pPr>
        <w:ind w:left="547" w:hanging="360"/>
      </w:pPr>
      <w:rPr>
        <w:rFonts w:ascii="Times New Roman" w:eastAsia="Times New Roman" w:hAnsi="Times New Roman" w:cs="Times New Roman"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7">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nsid w:val="7A224315"/>
    <w:multiLevelType w:val="hybridMultilevel"/>
    <w:tmpl w:val="A31E62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C1A56DC"/>
    <w:multiLevelType w:val="hybridMultilevel"/>
    <w:tmpl w:val="E320D884"/>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num w:numId="1">
    <w:abstractNumId w:val="25"/>
  </w:num>
  <w:num w:numId="2">
    <w:abstractNumId w:val="14"/>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7"/>
  </w:num>
  <w:num w:numId="16">
    <w:abstractNumId w:val="28"/>
  </w:num>
  <w:num w:numId="17">
    <w:abstractNumId w:val="12"/>
  </w:num>
  <w:num w:numId="18">
    <w:abstractNumId w:val="29"/>
  </w:num>
  <w:num w:numId="19">
    <w:abstractNumId w:val="10"/>
  </w:num>
  <w:num w:numId="20">
    <w:abstractNumId w:val="18"/>
  </w:num>
  <w:num w:numId="21">
    <w:abstractNumId w:val="16"/>
  </w:num>
  <w:num w:numId="22">
    <w:abstractNumId w:val="13"/>
  </w:num>
  <w:num w:numId="23">
    <w:abstractNumId w:val="26"/>
  </w:num>
  <w:num w:numId="24">
    <w:abstractNumId w:val="15"/>
  </w:num>
  <w:num w:numId="25">
    <w:abstractNumId w:val="22"/>
  </w:num>
  <w:num w:numId="26">
    <w:abstractNumId w:val="20"/>
  </w:num>
  <w:num w:numId="27">
    <w:abstractNumId w:val="21"/>
  </w:num>
  <w:num w:numId="28">
    <w:abstractNumId w:val="19"/>
  </w:num>
  <w:num w:numId="29">
    <w:abstractNumId w:val="23"/>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attachedTemplate r:id="rId1"/>
  <w:stylePaneFormatFilter w:val="3001"/>
  <w:doNotTrackMoves/>
  <w:defaultTabStop w:val="720"/>
  <w:hyphenationZone w:val="425"/>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rsids>
    <w:rsidRoot w:val="00895AFA"/>
    <w:rsid w:val="00000E84"/>
    <w:rsid w:val="00001D34"/>
    <w:rsid w:val="000034E3"/>
    <w:rsid w:val="00007A98"/>
    <w:rsid w:val="00007F2B"/>
    <w:rsid w:val="00013B7D"/>
    <w:rsid w:val="00013EF7"/>
    <w:rsid w:val="00014EA0"/>
    <w:rsid w:val="000150DD"/>
    <w:rsid w:val="00040B67"/>
    <w:rsid w:val="00052CB4"/>
    <w:rsid w:val="00070A9C"/>
    <w:rsid w:val="00074A20"/>
    <w:rsid w:val="00074EF9"/>
    <w:rsid w:val="00080185"/>
    <w:rsid w:val="000A2A9A"/>
    <w:rsid w:val="000A5E03"/>
    <w:rsid w:val="000B245B"/>
    <w:rsid w:val="000C145B"/>
    <w:rsid w:val="000D0EE2"/>
    <w:rsid w:val="000D28CF"/>
    <w:rsid w:val="000D3E3D"/>
    <w:rsid w:val="000D4BB4"/>
    <w:rsid w:val="000D5BD7"/>
    <w:rsid w:val="000D72E6"/>
    <w:rsid w:val="000E1BEA"/>
    <w:rsid w:val="000E28FD"/>
    <w:rsid w:val="000E57D6"/>
    <w:rsid w:val="000F0031"/>
    <w:rsid w:val="000F72A0"/>
    <w:rsid w:val="00106503"/>
    <w:rsid w:val="00116E2E"/>
    <w:rsid w:val="00133F13"/>
    <w:rsid w:val="0014145F"/>
    <w:rsid w:val="00143909"/>
    <w:rsid w:val="0014556A"/>
    <w:rsid w:val="00145843"/>
    <w:rsid w:val="0015344C"/>
    <w:rsid w:val="00165665"/>
    <w:rsid w:val="00172427"/>
    <w:rsid w:val="00180040"/>
    <w:rsid w:val="00180F69"/>
    <w:rsid w:val="0019322C"/>
    <w:rsid w:val="00195AD5"/>
    <w:rsid w:val="001A50B7"/>
    <w:rsid w:val="001B64D8"/>
    <w:rsid w:val="001C4B55"/>
    <w:rsid w:val="001D2E75"/>
    <w:rsid w:val="001D6284"/>
    <w:rsid w:val="001E0867"/>
    <w:rsid w:val="00206B07"/>
    <w:rsid w:val="002115FB"/>
    <w:rsid w:val="00213C31"/>
    <w:rsid w:val="002166B2"/>
    <w:rsid w:val="0022484D"/>
    <w:rsid w:val="002260F1"/>
    <w:rsid w:val="00235284"/>
    <w:rsid w:val="002425EE"/>
    <w:rsid w:val="00243F65"/>
    <w:rsid w:val="00252370"/>
    <w:rsid w:val="00266A70"/>
    <w:rsid w:val="00294A13"/>
    <w:rsid w:val="00297CD6"/>
    <w:rsid w:val="002A5E98"/>
    <w:rsid w:val="002B2688"/>
    <w:rsid w:val="002B3E66"/>
    <w:rsid w:val="002B42B6"/>
    <w:rsid w:val="002B7BB7"/>
    <w:rsid w:val="002C6318"/>
    <w:rsid w:val="002D0307"/>
    <w:rsid w:val="002D157C"/>
    <w:rsid w:val="002D2A47"/>
    <w:rsid w:val="002F1304"/>
    <w:rsid w:val="002F4805"/>
    <w:rsid w:val="003003BA"/>
    <w:rsid w:val="00301E7E"/>
    <w:rsid w:val="00303ADC"/>
    <w:rsid w:val="003065A2"/>
    <w:rsid w:val="00316823"/>
    <w:rsid w:val="00330E4B"/>
    <w:rsid w:val="003412C6"/>
    <w:rsid w:val="00370789"/>
    <w:rsid w:val="00372E1B"/>
    <w:rsid w:val="00374D1D"/>
    <w:rsid w:val="0037743E"/>
    <w:rsid w:val="003803C0"/>
    <w:rsid w:val="00380584"/>
    <w:rsid w:val="00387005"/>
    <w:rsid w:val="003946D5"/>
    <w:rsid w:val="00394F4B"/>
    <w:rsid w:val="003A375B"/>
    <w:rsid w:val="003A575A"/>
    <w:rsid w:val="003C2B35"/>
    <w:rsid w:val="003C52DD"/>
    <w:rsid w:val="003E246B"/>
    <w:rsid w:val="0041118A"/>
    <w:rsid w:val="0041358D"/>
    <w:rsid w:val="00414960"/>
    <w:rsid w:val="00421C68"/>
    <w:rsid w:val="004237D7"/>
    <w:rsid w:val="00430D13"/>
    <w:rsid w:val="00434186"/>
    <w:rsid w:val="0043603C"/>
    <w:rsid w:val="0044247F"/>
    <w:rsid w:val="00443D59"/>
    <w:rsid w:val="0045379C"/>
    <w:rsid w:val="00461B76"/>
    <w:rsid w:val="00470539"/>
    <w:rsid w:val="004755B9"/>
    <w:rsid w:val="004A1546"/>
    <w:rsid w:val="004E6DBE"/>
    <w:rsid w:val="004F2A1D"/>
    <w:rsid w:val="00506C77"/>
    <w:rsid w:val="005167A3"/>
    <w:rsid w:val="00544E3F"/>
    <w:rsid w:val="005779BE"/>
    <w:rsid w:val="00577A99"/>
    <w:rsid w:val="005903C6"/>
    <w:rsid w:val="005909C8"/>
    <w:rsid w:val="005E24F7"/>
    <w:rsid w:val="005E73AC"/>
    <w:rsid w:val="005F3ED0"/>
    <w:rsid w:val="005F6709"/>
    <w:rsid w:val="00604F75"/>
    <w:rsid w:val="00607C67"/>
    <w:rsid w:val="00613E57"/>
    <w:rsid w:val="006211CD"/>
    <w:rsid w:val="00627B7A"/>
    <w:rsid w:val="00627B8D"/>
    <w:rsid w:val="00636E96"/>
    <w:rsid w:val="00644D60"/>
    <w:rsid w:val="00647A2E"/>
    <w:rsid w:val="0065156F"/>
    <w:rsid w:val="006560C3"/>
    <w:rsid w:val="00662C6C"/>
    <w:rsid w:val="00677871"/>
    <w:rsid w:val="006821EE"/>
    <w:rsid w:val="00683CC6"/>
    <w:rsid w:val="006845B5"/>
    <w:rsid w:val="006A2189"/>
    <w:rsid w:val="006B386D"/>
    <w:rsid w:val="006C52E8"/>
    <w:rsid w:val="006C58CD"/>
    <w:rsid w:val="006C7938"/>
    <w:rsid w:val="006C7B9A"/>
    <w:rsid w:val="006D3495"/>
    <w:rsid w:val="006E5474"/>
    <w:rsid w:val="006F69A8"/>
    <w:rsid w:val="00705910"/>
    <w:rsid w:val="00706BF5"/>
    <w:rsid w:val="00707905"/>
    <w:rsid w:val="00720F50"/>
    <w:rsid w:val="00724721"/>
    <w:rsid w:val="00724D53"/>
    <w:rsid w:val="00725E51"/>
    <w:rsid w:val="00727D9A"/>
    <w:rsid w:val="0073289F"/>
    <w:rsid w:val="00736DB3"/>
    <w:rsid w:val="00755724"/>
    <w:rsid w:val="00761218"/>
    <w:rsid w:val="007669DD"/>
    <w:rsid w:val="007777C8"/>
    <w:rsid w:val="00780B78"/>
    <w:rsid w:val="00785E2E"/>
    <w:rsid w:val="00787BDA"/>
    <w:rsid w:val="007A28F5"/>
    <w:rsid w:val="007A482A"/>
    <w:rsid w:val="007B1A5A"/>
    <w:rsid w:val="007B6EBC"/>
    <w:rsid w:val="007D1D1F"/>
    <w:rsid w:val="007E2B1D"/>
    <w:rsid w:val="007E36E9"/>
    <w:rsid w:val="007E7D0C"/>
    <w:rsid w:val="007F29FF"/>
    <w:rsid w:val="007F3245"/>
    <w:rsid w:val="007F6114"/>
    <w:rsid w:val="007F6F81"/>
    <w:rsid w:val="00801C66"/>
    <w:rsid w:val="00801CB2"/>
    <w:rsid w:val="00817697"/>
    <w:rsid w:val="008271A7"/>
    <w:rsid w:val="00844FCB"/>
    <w:rsid w:val="008507ED"/>
    <w:rsid w:val="00855721"/>
    <w:rsid w:val="008717BB"/>
    <w:rsid w:val="00877C20"/>
    <w:rsid w:val="00880100"/>
    <w:rsid w:val="00880B83"/>
    <w:rsid w:val="008929DD"/>
    <w:rsid w:val="00895AFA"/>
    <w:rsid w:val="00896B4A"/>
    <w:rsid w:val="008A01FD"/>
    <w:rsid w:val="008C2EE6"/>
    <w:rsid w:val="008D0B7F"/>
    <w:rsid w:val="008D1C94"/>
    <w:rsid w:val="008E1EF4"/>
    <w:rsid w:val="008F0ED6"/>
    <w:rsid w:val="008F426F"/>
    <w:rsid w:val="008F5835"/>
    <w:rsid w:val="008F5E24"/>
    <w:rsid w:val="008F5E79"/>
    <w:rsid w:val="008F63A1"/>
    <w:rsid w:val="00901EF2"/>
    <w:rsid w:val="00934921"/>
    <w:rsid w:val="009403D9"/>
    <w:rsid w:val="00943F9D"/>
    <w:rsid w:val="00963151"/>
    <w:rsid w:val="00967747"/>
    <w:rsid w:val="00971189"/>
    <w:rsid w:val="00973EE7"/>
    <w:rsid w:val="009747BA"/>
    <w:rsid w:val="009803FF"/>
    <w:rsid w:val="00981C96"/>
    <w:rsid w:val="00983C72"/>
    <w:rsid w:val="0098477B"/>
    <w:rsid w:val="00990AE6"/>
    <w:rsid w:val="00992599"/>
    <w:rsid w:val="0099395D"/>
    <w:rsid w:val="00997B14"/>
    <w:rsid w:val="009B0A6B"/>
    <w:rsid w:val="009B15A2"/>
    <w:rsid w:val="009B2EED"/>
    <w:rsid w:val="009C1327"/>
    <w:rsid w:val="009C5D88"/>
    <w:rsid w:val="009C748A"/>
    <w:rsid w:val="009D1438"/>
    <w:rsid w:val="009E24BD"/>
    <w:rsid w:val="009E2B4E"/>
    <w:rsid w:val="009F7C24"/>
    <w:rsid w:val="00A00630"/>
    <w:rsid w:val="00A0277B"/>
    <w:rsid w:val="00A045D8"/>
    <w:rsid w:val="00A04C59"/>
    <w:rsid w:val="00A06B28"/>
    <w:rsid w:val="00A10EE3"/>
    <w:rsid w:val="00A13834"/>
    <w:rsid w:val="00A234BC"/>
    <w:rsid w:val="00A32C86"/>
    <w:rsid w:val="00A34C7D"/>
    <w:rsid w:val="00A37F74"/>
    <w:rsid w:val="00A40FB6"/>
    <w:rsid w:val="00A45AC9"/>
    <w:rsid w:val="00A564AA"/>
    <w:rsid w:val="00A56CB1"/>
    <w:rsid w:val="00A570BD"/>
    <w:rsid w:val="00A57B99"/>
    <w:rsid w:val="00A65CFF"/>
    <w:rsid w:val="00A74632"/>
    <w:rsid w:val="00A90F6A"/>
    <w:rsid w:val="00A946B1"/>
    <w:rsid w:val="00AB1310"/>
    <w:rsid w:val="00AB2BA0"/>
    <w:rsid w:val="00AB46AB"/>
    <w:rsid w:val="00AB6B8E"/>
    <w:rsid w:val="00AC501B"/>
    <w:rsid w:val="00AD0058"/>
    <w:rsid w:val="00AD21B5"/>
    <w:rsid w:val="00AE296C"/>
    <w:rsid w:val="00AF0733"/>
    <w:rsid w:val="00AF459F"/>
    <w:rsid w:val="00B02204"/>
    <w:rsid w:val="00B03A3D"/>
    <w:rsid w:val="00B216A3"/>
    <w:rsid w:val="00B229FB"/>
    <w:rsid w:val="00B23EBA"/>
    <w:rsid w:val="00B344C4"/>
    <w:rsid w:val="00B421FE"/>
    <w:rsid w:val="00B4414C"/>
    <w:rsid w:val="00B45200"/>
    <w:rsid w:val="00B45D80"/>
    <w:rsid w:val="00B46BBE"/>
    <w:rsid w:val="00B52ABA"/>
    <w:rsid w:val="00B52CB0"/>
    <w:rsid w:val="00B75D5E"/>
    <w:rsid w:val="00B75E7A"/>
    <w:rsid w:val="00B77DA4"/>
    <w:rsid w:val="00B85821"/>
    <w:rsid w:val="00B86486"/>
    <w:rsid w:val="00B90943"/>
    <w:rsid w:val="00B974BB"/>
    <w:rsid w:val="00BA60D8"/>
    <w:rsid w:val="00BB14D9"/>
    <w:rsid w:val="00BC515F"/>
    <w:rsid w:val="00BC5C1A"/>
    <w:rsid w:val="00BC6C9C"/>
    <w:rsid w:val="00BD1320"/>
    <w:rsid w:val="00BE7773"/>
    <w:rsid w:val="00C15BA2"/>
    <w:rsid w:val="00C31730"/>
    <w:rsid w:val="00C33BD5"/>
    <w:rsid w:val="00C53798"/>
    <w:rsid w:val="00C5534F"/>
    <w:rsid w:val="00C63B79"/>
    <w:rsid w:val="00C65C86"/>
    <w:rsid w:val="00C67A72"/>
    <w:rsid w:val="00C7162F"/>
    <w:rsid w:val="00C76E67"/>
    <w:rsid w:val="00C8139A"/>
    <w:rsid w:val="00C8261E"/>
    <w:rsid w:val="00C92F48"/>
    <w:rsid w:val="00CB187C"/>
    <w:rsid w:val="00CB2A6D"/>
    <w:rsid w:val="00CB5713"/>
    <w:rsid w:val="00CC6008"/>
    <w:rsid w:val="00CD372A"/>
    <w:rsid w:val="00CE213E"/>
    <w:rsid w:val="00D25A36"/>
    <w:rsid w:val="00D34D63"/>
    <w:rsid w:val="00D36A82"/>
    <w:rsid w:val="00D42CC4"/>
    <w:rsid w:val="00D4567B"/>
    <w:rsid w:val="00D51466"/>
    <w:rsid w:val="00D550FB"/>
    <w:rsid w:val="00D6446B"/>
    <w:rsid w:val="00D66B8F"/>
    <w:rsid w:val="00D673AF"/>
    <w:rsid w:val="00DA4CBD"/>
    <w:rsid w:val="00DA5AC2"/>
    <w:rsid w:val="00DB0875"/>
    <w:rsid w:val="00DB4A29"/>
    <w:rsid w:val="00DB58E7"/>
    <w:rsid w:val="00DC1E55"/>
    <w:rsid w:val="00DC615C"/>
    <w:rsid w:val="00DC6929"/>
    <w:rsid w:val="00DC6AED"/>
    <w:rsid w:val="00DD518A"/>
    <w:rsid w:val="00DD5AAA"/>
    <w:rsid w:val="00DD6692"/>
    <w:rsid w:val="00DE0B5B"/>
    <w:rsid w:val="00DE52A2"/>
    <w:rsid w:val="00DE79DC"/>
    <w:rsid w:val="00DF28B7"/>
    <w:rsid w:val="00DF74EF"/>
    <w:rsid w:val="00E16E06"/>
    <w:rsid w:val="00E32B6E"/>
    <w:rsid w:val="00E418C3"/>
    <w:rsid w:val="00E4509A"/>
    <w:rsid w:val="00E47E1F"/>
    <w:rsid w:val="00E548F8"/>
    <w:rsid w:val="00E54B0C"/>
    <w:rsid w:val="00E56C1E"/>
    <w:rsid w:val="00E61CD1"/>
    <w:rsid w:val="00E73095"/>
    <w:rsid w:val="00E76DD5"/>
    <w:rsid w:val="00E866AB"/>
    <w:rsid w:val="00E87892"/>
    <w:rsid w:val="00E90B0D"/>
    <w:rsid w:val="00E90DC6"/>
    <w:rsid w:val="00E92C89"/>
    <w:rsid w:val="00E96274"/>
    <w:rsid w:val="00EA0F9D"/>
    <w:rsid w:val="00EA4D61"/>
    <w:rsid w:val="00EB1E89"/>
    <w:rsid w:val="00EB5C4B"/>
    <w:rsid w:val="00EB5D8A"/>
    <w:rsid w:val="00EB679C"/>
    <w:rsid w:val="00EC74E3"/>
    <w:rsid w:val="00ED3A43"/>
    <w:rsid w:val="00EF035A"/>
    <w:rsid w:val="00EF2B27"/>
    <w:rsid w:val="00F01982"/>
    <w:rsid w:val="00F12BAA"/>
    <w:rsid w:val="00F203C8"/>
    <w:rsid w:val="00F317E0"/>
    <w:rsid w:val="00F433C4"/>
    <w:rsid w:val="00F4797F"/>
    <w:rsid w:val="00F50382"/>
    <w:rsid w:val="00F550C7"/>
    <w:rsid w:val="00F621C0"/>
    <w:rsid w:val="00F704B4"/>
    <w:rsid w:val="00F73F47"/>
    <w:rsid w:val="00F826D9"/>
    <w:rsid w:val="00F84FA7"/>
    <w:rsid w:val="00FA0796"/>
    <w:rsid w:val="00FA2BB7"/>
    <w:rsid w:val="00FA4B60"/>
    <w:rsid w:val="00FC60A3"/>
    <w:rsid w:val="00FE3B74"/>
    <w:rsid w:val="00FF6877"/>
    <w:rsid w:val="00FF73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link w:val="Heading2Char"/>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0">
    <w:name w:val="Figure Caption"/>
    <w:next w:val="BodyTextIndent"/>
    <w:rsid w:val="002C6318"/>
    <w:pPr>
      <w:spacing w:before="60" w:after="120"/>
      <w:jc w:val="center"/>
    </w:pPr>
    <w:rPr>
      <w:szCs w:val="24"/>
      <w:lang w:val="en-GB"/>
    </w:rPr>
  </w:style>
  <w:style w:type="paragraph" w:customStyle="1" w:styleId="TableCaption0">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2B42B6"/>
    <w:pPr>
      <w:numPr>
        <w:numId w:val="17"/>
      </w:numPr>
      <w:spacing w:before="240" w:after="240"/>
      <w:jc w:val="lef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0"/>
    <w:next w:val="BodyTextIndent"/>
    <w:rsid w:val="006C58CD"/>
    <w:pPr>
      <w:jc w:val="both"/>
    </w:pPr>
    <w:rPr>
      <w:szCs w:val="20"/>
    </w:rPr>
  </w:style>
  <w:style w:type="paragraph" w:customStyle="1" w:styleId="TableCaptionMultiLine">
    <w:name w:val="Table Caption Multi Line"/>
    <w:basedOn w:val="TableCaption0"/>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paragraph" w:styleId="ListBullet">
    <w:name w:val="List Bullet"/>
    <w:basedOn w:val="Normal"/>
    <w:uiPriority w:val="99"/>
    <w:unhideWhenUsed/>
    <w:rsid w:val="00D36A82"/>
    <w:pPr>
      <w:numPr>
        <w:numId w:val="4"/>
      </w:numPr>
      <w:contextualSpacing/>
    </w:pPr>
  </w:style>
  <w:style w:type="table" w:styleId="TableGrid">
    <w:name w:val="Table Grid"/>
    <w:basedOn w:val="TableNormal"/>
    <w:uiPriority w:val="59"/>
    <w:rsid w:val="00D5146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aliases w:val="Section Heading Char"/>
    <w:basedOn w:val="DefaultParagraphFont"/>
    <w:link w:val="Heading2"/>
    <w:rsid w:val="00C65C86"/>
    <w:rPr>
      <w:rFonts w:cs="Arial"/>
      <w:b/>
      <w:bCs/>
      <w:iCs/>
      <w:caps/>
      <w:kern w:val="16"/>
      <w:sz w:val="24"/>
      <w:szCs w:val="28"/>
      <w:lang w:val="en-GB"/>
    </w:rPr>
  </w:style>
  <w:style w:type="character" w:customStyle="1" w:styleId="BodyTextIndentChar">
    <w:name w:val="Body Text Indent Char"/>
    <w:basedOn w:val="DefaultParagraphFont"/>
    <w:link w:val="BodyTextIndent"/>
    <w:rsid w:val="00C65C86"/>
    <w:rPr>
      <w:lang w:val="en-GB"/>
    </w:rPr>
  </w:style>
  <w:style w:type="paragraph" w:styleId="BodyText">
    <w:name w:val="Body Text"/>
    <w:basedOn w:val="Normal"/>
    <w:link w:val="BodyTextChar"/>
    <w:uiPriority w:val="99"/>
    <w:semiHidden/>
    <w:unhideWhenUsed/>
    <w:rsid w:val="00B52ABA"/>
    <w:pPr>
      <w:spacing w:after="120"/>
    </w:pPr>
  </w:style>
  <w:style w:type="character" w:customStyle="1" w:styleId="BodyTextChar">
    <w:name w:val="Body Text Char"/>
    <w:basedOn w:val="DefaultParagraphFont"/>
    <w:link w:val="BodyText"/>
    <w:uiPriority w:val="99"/>
    <w:semiHidden/>
    <w:rsid w:val="00B52ABA"/>
    <w:rPr>
      <w:rFonts w:ascii="Times" w:hAnsi="Times"/>
      <w:szCs w:val="24"/>
      <w:lang w:val="en-GB"/>
    </w:rPr>
  </w:style>
  <w:style w:type="paragraph" w:styleId="Header">
    <w:name w:val="header"/>
    <w:basedOn w:val="Normal"/>
    <w:link w:val="HeaderChar"/>
    <w:uiPriority w:val="99"/>
    <w:semiHidden/>
    <w:unhideWhenUsed/>
    <w:rsid w:val="00B52ABA"/>
    <w:pPr>
      <w:widowControl w:val="0"/>
      <w:tabs>
        <w:tab w:val="center" w:pos="4252"/>
        <w:tab w:val="right" w:pos="8504"/>
      </w:tabs>
      <w:autoSpaceDE w:val="0"/>
      <w:autoSpaceDN w:val="0"/>
      <w:adjustRightInd w:val="0"/>
      <w:snapToGrid w:val="0"/>
      <w:jc w:val="left"/>
    </w:pPr>
    <w:rPr>
      <w:rFonts w:ascii="Times New Roman" w:eastAsia="Batang" w:hAnsi="Times New Roman"/>
      <w:szCs w:val="20"/>
      <w:lang w:val="en-US" w:eastAsia="ko-KR"/>
    </w:rPr>
  </w:style>
  <w:style w:type="character" w:customStyle="1" w:styleId="HeaderChar">
    <w:name w:val="Header Char"/>
    <w:basedOn w:val="DefaultParagraphFont"/>
    <w:link w:val="Header"/>
    <w:uiPriority w:val="99"/>
    <w:semiHidden/>
    <w:rsid w:val="00B52ABA"/>
    <w:rPr>
      <w:rFonts w:eastAsia="Batang"/>
      <w:lang w:eastAsia="ko-KR"/>
    </w:rPr>
  </w:style>
  <w:style w:type="table" w:styleId="TableSimple1">
    <w:name w:val="Table Simple 1"/>
    <w:basedOn w:val="TableNormal"/>
    <w:rsid w:val="00B52ABA"/>
    <w:pPr>
      <w:widowControl w:val="0"/>
      <w:autoSpaceDE w:val="0"/>
      <w:autoSpaceDN w:val="0"/>
      <w:adjustRightInd w:val="0"/>
    </w:pPr>
    <w:rPr>
      <w:rFonts w:eastAsia="Batang"/>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igurecaption">
    <w:name w:val="Figure caption"/>
    <w:basedOn w:val="Normal"/>
    <w:rsid w:val="00B52ABA"/>
    <w:pPr>
      <w:widowControl w:val="0"/>
      <w:numPr>
        <w:numId w:val="25"/>
      </w:numPr>
      <w:spacing w:beforeLines="50" w:line="240" w:lineRule="exact"/>
      <w:jc w:val="left"/>
    </w:pPr>
    <w:rPr>
      <w:rFonts w:ascii="Times New Roman" w:hAnsi="Times New Roman"/>
      <w:bCs/>
      <w:sz w:val="18"/>
      <w:szCs w:val="18"/>
      <w:lang w:val="en-US" w:eastAsia="ja-JP"/>
    </w:rPr>
  </w:style>
  <w:style w:type="paragraph" w:customStyle="1" w:styleId="Tablecaption">
    <w:name w:val="Table caption"/>
    <w:basedOn w:val="BodyText"/>
    <w:rsid w:val="00B52ABA"/>
    <w:pPr>
      <w:widowControl w:val="0"/>
      <w:numPr>
        <w:numId w:val="26"/>
      </w:numPr>
      <w:autoSpaceDE w:val="0"/>
      <w:autoSpaceDN w:val="0"/>
      <w:adjustRightInd w:val="0"/>
      <w:spacing w:afterLines="50" w:line="220" w:lineRule="exact"/>
      <w:jc w:val="center"/>
    </w:pPr>
    <w:rPr>
      <w:rFonts w:ascii="Times New Roman" w:hAnsi="Times New Roman"/>
      <w:bCs/>
      <w:sz w:val="18"/>
      <w:szCs w:val="18"/>
      <w:lang w:val="en-US" w:eastAsia="ja-JP"/>
    </w:rPr>
  </w:style>
  <w:style w:type="paragraph" w:styleId="NormalWeb">
    <w:name w:val="Normal (Web)"/>
    <w:basedOn w:val="Normal"/>
    <w:uiPriority w:val="99"/>
    <w:unhideWhenUsed/>
    <w:rsid w:val="00E418C3"/>
    <w:pPr>
      <w:spacing w:before="100" w:beforeAutospacing="1" w:after="100" w:afterAutospacing="1"/>
      <w:jc w:val="left"/>
    </w:pPr>
    <w:rPr>
      <w:rFonts w:ascii="Times New Roman" w:hAnsi="Times New Roman"/>
      <w:sz w:val="24"/>
      <w:lang w:val="en-US"/>
    </w:rPr>
  </w:style>
</w:styles>
</file>

<file path=word/webSettings.xml><?xml version="1.0" encoding="utf-8"?>
<w:webSettings xmlns:r="http://schemas.openxmlformats.org/officeDocument/2006/relationships" xmlns:w="http://schemas.openxmlformats.org/wordprocessingml/2006/main">
  <w:divs>
    <w:div w:id="364790951">
      <w:bodyDiv w:val="1"/>
      <w:marLeft w:val="0"/>
      <w:marRight w:val="0"/>
      <w:marTop w:val="0"/>
      <w:marBottom w:val="0"/>
      <w:divBdr>
        <w:top w:val="none" w:sz="0" w:space="0" w:color="auto"/>
        <w:left w:val="none" w:sz="0" w:space="0" w:color="auto"/>
        <w:bottom w:val="none" w:sz="0" w:space="0" w:color="auto"/>
        <w:right w:val="none" w:sz="0" w:space="0" w:color="auto"/>
      </w:divBdr>
    </w:div>
    <w:div w:id="747311260">
      <w:bodyDiv w:val="1"/>
      <w:marLeft w:val="0"/>
      <w:marRight w:val="0"/>
      <w:marTop w:val="0"/>
      <w:marBottom w:val="0"/>
      <w:divBdr>
        <w:top w:val="none" w:sz="0" w:space="0" w:color="auto"/>
        <w:left w:val="none" w:sz="0" w:space="0" w:color="auto"/>
        <w:bottom w:val="none" w:sz="0" w:space="0" w:color="auto"/>
        <w:right w:val="none" w:sz="0" w:space="0" w:color="auto"/>
      </w:divBdr>
      <w:divsChild>
        <w:div w:id="771583570">
          <w:marLeft w:val="547"/>
          <w:marRight w:val="0"/>
          <w:marTop w:val="0"/>
          <w:marBottom w:val="0"/>
          <w:divBdr>
            <w:top w:val="none" w:sz="0" w:space="0" w:color="auto"/>
            <w:left w:val="none" w:sz="0" w:space="0" w:color="auto"/>
            <w:bottom w:val="none" w:sz="0" w:space="0" w:color="auto"/>
            <w:right w:val="none" w:sz="0" w:space="0" w:color="auto"/>
          </w:divBdr>
        </w:div>
        <w:div w:id="1804540060">
          <w:marLeft w:val="1166"/>
          <w:marRight w:val="0"/>
          <w:marTop w:val="0"/>
          <w:marBottom w:val="0"/>
          <w:divBdr>
            <w:top w:val="none" w:sz="0" w:space="0" w:color="auto"/>
            <w:left w:val="none" w:sz="0" w:space="0" w:color="auto"/>
            <w:bottom w:val="none" w:sz="0" w:space="0" w:color="auto"/>
            <w:right w:val="none" w:sz="0" w:space="0" w:color="auto"/>
          </w:divBdr>
        </w:div>
        <w:div w:id="1554925581">
          <w:marLeft w:val="547"/>
          <w:marRight w:val="0"/>
          <w:marTop w:val="0"/>
          <w:marBottom w:val="0"/>
          <w:divBdr>
            <w:top w:val="none" w:sz="0" w:space="0" w:color="auto"/>
            <w:left w:val="none" w:sz="0" w:space="0" w:color="auto"/>
            <w:bottom w:val="none" w:sz="0" w:space="0" w:color="auto"/>
            <w:right w:val="none" w:sz="0" w:space="0" w:color="auto"/>
          </w:divBdr>
        </w:div>
        <w:div w:id="1260262361">
          <w:marLeft w:val="1166"/>
          <w:marRight w:val="0"/>
          <w:marTop w:val="0"/>
          <w:marBottom w:val="0"/>
          <w:divBdr>
            <w:top w:val="none" w:sz="0" w:space="0" w:color="auto"/>
            <w:left w:val="none" w:sz="0" w:space="0" w:color="auto"/>
            <w:bottom w:val="none" w:sz="0" w:space="0" w:color="auto"/>
            <w:right w:val="none" w:sz="0" w:space="0" w:color="auto"/>
          </w:divBdr>
        </w:div>
        <w:div w:id="101149755">
          <w:marLeft w:val="547"/>
          <w:marRight w:val="0"/>
          <w:marTop w:val="0"/>
          <w:marBottom w:val="0"/>
          <w:divBdr>
            <w:top w:val="none" w:sz="0" w:space="0" w:color="auto"/>
            <w:left w:val="none" w:sz="0" w:space="0" w:color="auto"/>
            <w:bottom w:val="none" w:sz="0" w:space="0" w:color="auto"/>
            <w:right w:val="none" w:sz="0" w:space="0" w:color="auto"/>
          </w:divBdr>
        </w:div>
        <w:div w:id="1099832297">
          <w:marLeft w:val="1166"/>
          <w:marRight w:val="0"/>
          <w:marTop w:val="0"/>
          <w:marBottom w:val="0"/>
          <w:divBdr>
            <w:top w:val="none" w:sz="0" w:space="0" w:color="auto"/>
            <w:left w:val="none" w:sz="0" w:space="0" w:color="auto"/>
            <w:bottom w:val="none" w:sz="0" w:space="0" w:color="auto"/>
            <w:right w:val="none" w:sz="0" w:space="0" w:color="auto"/>
          </w:divBdr>
        </w:div>
        <w:div w:id="958875838">
          <w:marLeft w:val="1166"/>
          <w:marRight w:val="0"/>
          <w:marTop w:val="0"/>
          <w:marBottom w:val="0"/>
          <w:divBdr>
            <w:top w:val="none" w:sz="0" w:space="0" w:color="auto"/>
            <w:left w:val="none" w:sz="0" w:space="0" w:color="auto"/>
            <w:bottom w:val="none" w:sz="0" w:space="0" w:color="auto"/>
            <w:right w:val="none" w:sz="0" w:space="0" w:color="auto"/>
          </w:divBdr>
        </w:div>
        <w:div w:id="542182461">
          <w:marLeft w:val="547"/>
          <w:marRight w:val="0"/>
          <w:marTop w:val="0"/>
          <w:marBottom w:val="0"/>
          <w:divBdr>
            <w:top w:val="none" w:sz="0" w:space="0" w:color="auto"/>
            <w:left w:val="none" w:sz="0" w:space="0" w:color="auto"/>
            <w:bottom w:val="none" w:sz="0" w:space="0" w:color="auto"/>
            <w:right w:val="none" w:sz="0" w:space="0" w:color="auto"/>
          </w:divBdr>
        </w:div>
        <w:div w:id="23331420">
          <w:marLeft w:val="1166"/>
          <w:marRight w:val="0"/>
          <w:marTop w:val="0"/>
          <w:marBottom w:val="0"/>
          <w:divBdr>
            <w:top w:val="none" w:sz="0" w:space="0" w:color="auto"/>
            <w:left w:val="none" w:sz="0" w:space="0" w:color="auto"/>
            <w:bottom w:val="none" w:sz="0" w:space="0" w:color="auto"/>
            <w:right w:val="none" w:sz="0" w:space="0" w:color="auto"/>
          </w:divBdr>
        </w:div>
        <w:div w:id="229966679">
          <w:marLeft w:val="1166"/>
          <w:marRight w:val="0"/>
          <w:marTop w:val="0"/>
          <w:marBottom w:val="0"/>
          <w:divBdr>
            <w:top w:val="none" w:sz="0" w:space="0" w:color="auto"/>
            <w:left w:val="none" w:sz="0" w:space="0" w:color="auto"/>
            <w:bottom w:val="none" w:sz="0" w:space="0" w:color="auto"/>
            <w:right w:val="none" w:sz="0" w:space="0" w:color="auto"/>
          </w:divBdr>
        </w:div>
        <w:div w:id="501942274">
          <w:marLeft w:val="547"/>
          <w:marRight w:val="0"/>
          <w:marTop w:val="0"/>
          <w:marBottom w:val="0"/>
          <w:divBdr>
            <w:top w:val="none" w:sz="0" w:space="0" w:color="auto"/>
            <w:left w:val="none" w:sz="0" w:space="0" w:color="auto"/>
            <w:bottom w:val="none" w:sz="0" w:space="0" w:color="auto"/>
            <w:right w:val="none" w:sz="0" w:space="0" w:color="auto"/>
          </w:divBdr>
        </w:div>
        <w:div w:id="1011957343">
          <w:marLeft w:val="1166"/>
          <w:marRight w:val="0"/>
          <w:marTop w:val="0"/>
          <w:marBottom w:val="0"/>
          <w:divBdr>
            <w:top w:val="none" w:sz="0" w:space="0" w:color="auto"/>
            <w:left w:val="none" w:sz="0" w:space="0" w:color="auto"/>
            <w:bottom w:val="none" w:sz="0" w:space="0" w:color="auto"/>
            <w:right w:val="none" w:sz="0" w:space="0" w:color="auto"/>
          </w:divBdr>
        </w:div>
        <w:div w:id="103313083">
          <w:marLeft w:val="547"/>
          <w:marRight w:val="0"/>
          <w:marTop w:val="0"/>
          <w:marBottom w:val="0"/>
          <w:divBdr>
            <w:top w:val="none" w:sz="0" w:space="0" w:color="auto"/>
            <w:left w:val="none" w:sz="0" w:space="0" w:color="auto"/>
            <w:bottom w:val="none" w:sz="0" w:space="0" w:color="auto"/>
            <w:right w:val="none" w:sz="0" w:space="0" w:color="auto"/>
          </w:divBdr>
        </w:div>
        <w:div w:id="768546662">
          <w:marLeft w:val="1166"/>
          <w:marRight w:val="0"/>
          <w:marTop w:val="0"/>
          <w:marBottom w:val="0"/>
          <w:divBdr>
            <w:top w:val="none" w:sz="0" w:space="0" w:color="auto"/>
            <w:left w:val="none" w:sz="0" w:space="0" w:color="auto"/>
            <w:bottom w:val="none" w:sz="0" w:space="0" w:color="auto"/>
            <w:right w:val="none" w:sz="0" w:space="0" w:color="auto"/>
          </w:divBdr>
        </w:div>
      </w:divsChild>
    </w:div>
    <w:div w:id="760024910">
      <w:bodyDiv w:val="1"/>
      <w:marLeft w:val="0"/>
      <w:marRight w:val="0"/>
      <w:marTop w:val="0"/>
      <w:marBottom w:val="0"/>
      <w:divBdr>
        <w:top w:val="none" w:sz="0" w:space="0" w:color="auto"/>
        <w:left w:val="none" w:sz="0" w:space="0" w:color="auto"/>
        <w:bottom w:val="none" w:sz="0" w:space="0" w:color="auto"/>
        <w:right w:val="none" w:sz="0" w:space="0" w:color="auto"/>
      </w:divBdr>
      <w:divsChild>
        <w:div w:id="516232501">
          <w:marLeft w:val="547"/>
          <w:marRight w:val="0"/>
          <w:marTop w:val="0"/>
          <w:marBottom w:val="0"/>
          <w:divBdr>
            <w:top w:val="none" w:sz="0" w:space="0" w:color="auto"/>
            <w:left w:val="none" w:sz="0" w:space="0" w:color="auto"/>
            <w:bottom w:val="none" w:sz="0" w:space="0" w:color="auto"/>
            <w:right w:val="none" w:sz="0" w:space="0" w:color="auto"/>
          </w:divBdr>
        </w:div>
        <w:div w:id="850530189">
          <w:marLeft w:val="1166"/>
          <w:marRight w:val="0"/>
          <w:marTop w:val="0"/>
          <w:marBottom w:val="0"/>
          <w:divBdr>
            <w:top w:val="none" w:sz="0" w:space="0" w:color="auto"/>
            <w:left w:val="none" w:sz="0" w:space="0" w:color="auto"/>
            <w:bottom w:val="none" w:sz="0" w:space="0" w:color="auto"/>
            <w:right w:val="none" w:sz="0" w:space="0" w:color="auto"/>
          </w:divBdr>
        </w:div>
        <w:div w:id="807211155">
          <w:marLeft w:val="1166"/>
          <w:marRight w:val="0"/>
          <w:marTop w:val="0"/>
          <w:marBottom w:val="0"/>
          <w:divBdr>
            <w:top w:val="none" w:sz="0" w:space="0" w:color="auto"/>
            <w:left w:val="none" w:sz="0" w:space="0" w:color="auto"/>
            <w:bottom w:val="none" w:sz="0" w:space="0" w:color="auto"/>
            <w:right w:val="none" w:sz="0" w:space="0" w:color="auto"/>
          </w:divBdr>
        </w:div>
        <w:div w:id="1839610953">
          <w:marLeft w:val="547"/>
          <w:marRight w:val="0"/>
          <w:marTop w:val="0"/>
          <w:marBottom w:val="0"/>
          <w:divBdr>
            <w:top w:val="none" w:sz="0" w:space="0" w:color="auto"/>
            <w:left w:val="none" w:sz="0" w:space="0" w:color="auto"/>
            <w:bottom w:val="none" w:sz="0" w:space="0" w:color="auto"/>
            <w:right w:val="none" w:sz="0" w:space="0" w:color="auto"/>
          </w:divBdr>
        </w:div>
        <w:div w:id="1414888925">
          <w:marLeft w:val="1166"/>
          <w:marRight w:val="0"/>
          <w:marTop w:val="0"/>
          <w:marBottom w:val="0"/>
          <w:divBdr>
            <w:top w:val="none" w:sz="0" w:space="0" w:color="auto"/>
            <w:left w:val="none" w:sz="0" w:space="0" w:color="auto"/>
            <w:bottom w:val="none" w:sz="0" w:space="0" w:color="auto"/>
            <w:right w:val="none" w:sz="0" w:space="0" w:color="auto"/>
          </w:divBdr>
        </w:div>
        <w:div w:id="1017658778">
          <w:marLeft w:val="547"/>
          <w:marRight w:val="0"/>
          <w:marTop w:val="0"/>
          <w:marBottom w:val="0"/>
          <w:divBdr>
            <w:top w:val="none" w:sz="0" w:space="0" w:color="auto"/>
            <w:left w:val="none" w:sz="0" w:space="0" w:color="auto"/>
            <w:bottom w:val="none" w:sz="0" w:space="0" w:color="auto"/>
            <w:right w:val="none" w:sz="0" w:space="0" w:color="auto"/>
          </w:divBdr>
        </w:div>
        <w:div w:id="1147281621">
          <w:marLeft w:val="1166"/>
          <w:marRight w:val="0"/>
          <w:marTop w:val="0"/>
          <w:marBottom w:val="0"/>
          <w:divBdr>
            <w:top w:val="none" w:sz="0" w:space="0" w:color="auto"/>
            <w:left w:val="none" w:sz="0" w:space="0" w:color="auto"/>
            <w:bottom w:val="none" w:sz="0" w:space="0" w:color="auto"/>
            <w:right w:val="none" w:sz="0" w:space="0" w:color="auto"/>
          </w:divBdr>
        </w:div>
        <w:div w:id="594870875">
          <w:marLeft w:val="547"/>
          <w:marRight w:val="0"/>
          <w:marTop w:val="0"/>
          <w:marBottom w:val="0"/>
          <w:divBdr>
            <w:top w:val="none" w:sz="0" w:space="0" w:color="auto"/>
            <w:left w:val="none" w:sz="0" w:space="0" w:color="auto"/>
            <w:bottom w:val="none" w:sz="0" w:space="0" w:color="auto"/>
            <w:right w:val="none" w:sz="0" w:space="0" w:color="auto"/>
          </w:divBdr>
        </w:div>
        <w:div w:id="1808860544">
          <w:marLeft w:val="1166"/>
          <w:marRight w:val="0"/>
          <w:marTop w:val="0"/>
          <w:marBottom w:val="0"/>
          <w:divBdr>
            <w:top w:val="none" w:sz="0" w:space="0" w:color="auto"/>
            <w:left w:val="none" w:sz="0" w:space="0" w:color="auto"/>
            <w:bottom w:val="none" w:sz="0" w:space="0" w:color="auto"/>
            <w:right w:val="none" w:sz="0" w:space="0" w:color="auto"/>
          </w:divBdr>
        </w:div>
        <w:div w:id="353531383">
          <w:marLeft w:val="1800"/>
          <w:marRight w:val="0"/>
          <w:marTop w:val="0"/>
          <w:marBottom w:val="0"/>
          <w:divBdr>
            <w:top w:val="none" w:sz="0" w:space="0" w:color="auto"/>
            <w:left w:val="none" w:sz="0" w:space="0" w:color="auto"/>
            <w:bottom w:val="none" w:sz="0" w:space="0" w:color="auto"/>
            <w:right w:val="none" w:sz="0" w:space="0" w:color="auto"/>
          </w:divBdr>
        </w:div>
      </w:divsChild>
    </w:div>
    <w:div w:id="955452137">
      <w:bodyDiv w:val="1"/>
      <w:marLeft w:val="0"/>
      <w:marRight w:val="0"/>
      <w:marTop w:val="0"/>
      <w:marBottom w:val="0"/>
      <w:divBdr>
        <w:top w:val="none" w:sz="0" w:space="0" w:color="auto"/>
        <w:left w:val="none" w:sz="0" w:space="0" w:color="auto"/>
        <w:bottom w:val="none" w:sz="0" w:space="0" w:color="auto"/>
        <w:right w:val="none" w:sz="0" w:space="0" w:color="auto"/>
      </w:divBdr>
      <w:divsChild>
        <w:div w:id="61680221">
          <w:marLeft w:val="547"/>
          <w:marRight w:val="0"/>
          <w:marTop w:val="0"/>
          <w:marBottom w:val="0"/>
          <w:divBdr>
            <w:top w:val="none" w:sz="0" w:space="0" w:color="auto"/>
            <w:left w:val="none" w:sz="0" w:space="0" w:color="auto"/>
            <w:bottom w:val="none" w:sz="0" w:space="0" w:color="auto"/>
            <w:right w:val="none" w:sz="0" w:space="0" w:color="auto"/>
          </w:divBdr>
        </w:div>
        <w:div w:id="866062516">
          <w:marLeft w:val="1166"/>
          <w:marRight w:val="0"/>
          <w:marTop w:val="0"/>
          <w:marBottom w:val="0"/>
          <w:divBdr>
            <w:top w:val="none" w:sz="0" w:space="0" w:color="auto"/>
            <w:left w:val="none" w:sz="0" w:space="0" w:color="auto"/>
            <w:bottom w:val="none" w:sz="0" w:space="0" w:color="auto"/>
            <w:right w:val="none" w:sz="0" w:space="0" w:color="auto"/>
          </w:divBdr>
        </w:div>
        <w:div w:id="1735156825">
          <w:marLeft w:val="1166"/>
          <w:marRight w:val="0"/>
          <w:marTop w:val="0"/>
          <w:marBottom w:val="0"/>
          <w:divBdr>
            <w:top w:val="none" w:sz="0" w:space="0" w:color="auto"/>
            <w:left w:val="none" w:sz="0" w:space="0" w:color="auto"/>
            <w:bottom w:val="none" w:sz="0" w:space="0" w:color="auto"/>
            <w:right w:val="none" w:sz="0" w:space="0" w:color="auto"/>
          </w:divBdr>
        </w:div>
        <w:div w:id="1605528769">
          <w:marLeft w:val="547"/>
          <w:marRight w:val="0"/>
          <w:marTop w:val="0"/>
          <w:marBottom w:val="0"/>
          <w:divBdr>
            <w:top w:val="none" w:sz="0" w:space="0" w:color="auto"/>
            <w:left w:val="none" w:sz="0" w:space="0" w:color="auto"/>
            <w:bottom w:val="none" w:sz="0" w:space="0" w:color="auto"/>
            <w:right w:val="none" w:sz="0" w:space="0" w:color="auto"/>
          </w:divBdr>
        </w:div>
        <w:div w:id="1546331481">
          <w:marLeft w:val="1166"/>
          <w:marRight w:val="0"/>
          <w:marTop w:val="0"/>
          <w:marBottom w:val="0"/>
          <w:divBdr>
            <w:top w:val="none" w:sz="0" w:space="0" w:color="auto"/>
            <w:left w:val="none" w:sz="0" w:space="0" w:color="auto"/>
            <w:bottom w:val="none" w:sz="0" w:space="0" w:color="auto"/>
            <w:right w:val="none" w:sz="0" w:space="0" w:color="auto"/>
          </w:divBdr>
        </w:div>
        <w:div w:id="1735741145">
          <w:marLeft w:val="547"/>
          <w:marRight w:val="0"/>
          <w:marTop w:val="0"/>
          <w:marBottom w:val="0"/>
          <w:divBdr>
            <w:top w:val="none" w:sz="0" w:space="0" w:color="auto"/>
            <w:left w:val="none" w:sz="0" w:space="0" w:color="auto"/>
            <w:bottom w:val="none" w:sz="0" w:space="0" w:color="auto"/>
            <w:right w:val="none" w:sz="0" w:space="0" w:color="auto"/>
          </w:divBdr>
        </w:div>
        <w:div w:id="1834444666">
          <w:marLeft w:val="1166"/>
          <w:marRight w:val="0"/>
          <w:marTop w:val="0"/>
          <w:marBottom w:val="0"/>
          <w:divBdr>
            <w:top w:val="none" w:sz="0" w:space="0" w:color="auto"/>
            <w:left w:val="none" w:sz="0" w:space="0" w:color="auto"/>
            <w:bottom w:val="none" w:sz="0" w:space="0" w:color="auto"/>
            <w:right w:val="none" w:sz="0" w:space="0" w:color="auto"/>
          </w:divBdr>
        </w:div>
        <w:div w:id="1545217442">
          <w:marLeft w:val="547"/>
          <w:marRight w:val="0"/>
          <w:marTop w:val="0"/>
          <w:marBottom w:val="0"/>
          <w:divBdr>
            <w:top w:val="none" w:sz="0" w:space="0" w:color="auto"/>
            <w:left w:val="none" w:sz="0" w:space="0" w:color="auto"/>
            <w:bottom w:val="none" w:sz="0" w:space="0" w:color="auto"/>
            <w:right w:val="none" w:sz="0" w:space="0" w:color="auto"/>
          </w:divBdr>
        </w:div>
        <w:div w:id="1177619961">
          <w:marLeft w:val="1166"/>
          <w:marRight w:val="0"/>
          <w:marTop w:val="0"/>
          <w:marBottom w:val="0"/>
          <w:divBdr>
            <w:top w:val="none" w:sz="0" w:space="0" w:color="auto"/>
            <w:left w:val="none" w:sz="0" w:space="0" w:color="auto"/>
            <w:bottom w:val="none" w:sz="0" w:space="0" w:color="auto"/>
            <w:right w:val="none" w:sz="0" w:space="0" w:color="auto"/>
          </w:divBdr>
        </w:div>
        <w:div w:id="111561298">
          <w:marLeft w:val="1800"/>
          <w:marRight w:val="0"/>
          <w:marTop w:val="0"/>
          <w:marBottom w:val="0"/>
          <w:divBdr>
            <w:top w:val="none" w:sz="0" w:space="0" w:color="auto"/>
            <w:left w:val="none" w:sz="0" w:space="0" w:color="auto"/>
            <w:bottom w:val="none" w:sz="0" w:space="0" w:color="auto"/>
            <w:right w:val="none" w:sz="0" w:space="0" w:color="auto"/>
          </w:divBdr>
        </w:div>
      </w:divsChild>
    </w:div>
    <w:div w:id="1031496692">
      <w:bodyDiv w:val="1"/>
      <w:marLeft w:val="0"/>
      <w:marRight w:val="0"/>
      <w:marTop w:val="0"/>
      <w:marBottom w:val="0"/>
      <w:divBdr>
        <w:top w:val="none" w:sz="0" w:space="0" w:color="auto"/>
        <w:left w:val="none" w:sz="0" w:space="0" w:color="auto"/>
        <w:bottom w:val="none" w:sz="0" w:space="0" w:color="auto"/>
        <w:right w:val="none" w:sz="0" w:space="0" w:color="auto"/>
      </w:divBdr>
      <w:divsChild>
        <w:div w:id="1963614900">
          <w:marLeft w:val="547"/>
          <w:marRight w:val="0"/>
          <w:marTop w:val="40"/>
          <w:marBottom w:val="20"/>
          <w:divBdr>
            <w:top w:val="none" w:sz="0" w:space="0" w:color="auto"/>
            <w:left w:val="none" w:sz="0" w:space="0" w:color="auto"/>
            <w:bottom w:val="none" w:sz="0" w:space="0" w:color="auto"/>
            <w:right w:val="none" w:sz="0" w:space="0" w:color="auto"/>
          </w:divBdr>
        </w:div>
        <w:div w:id="1263955186">
          <w:marLeft w:val="547"/>
          <w:marRight w:val="0"/>
          <w:marTop w:val="40"/>
          <w:marBottom w:val="20"/>
          <w:divBdr>
            <w:top w:val="none" w:sz="0" w:space="0" w:color="auto"/>
            <w:left w:val="none" w:sz="0" w:space="0" w:color="auto"/>
            <w:bottom w:val="none" w:sz="0" w:space="0" w:color="auto"/>
            <w:right w:val="none" w:sz="0" w:space="0" w:color="auto"/>
          </w:divBdr>
        </w:div>
        <w:div w:id="472717622">
          <w:marLeft w:val="547"/>
          <w:marRight w:val="0"/>
          <w:marTop w:val="40"/>
          <w:marBottom w:val="20"/>
          <w:divBdr>
            <w:top w:val="none" w:sz="0" w:space="0" w:color="auto"/>
            <w:left w:val="none" w:sz="0" w:space="0" w:color="auto"/>
            <w:bottom w:val="none" w:sz="0" w:space="0" w:color="auto"/>
            <w:right w:val="none" w:sz="0" w:space="0" w:color="auto"/>
          </w:divBdr>
        </w:div>
        <w:div w:id="1307394481">
          <w:marLeft w:val="547"/>
          <w:marRight w:val="0"/>
          <w:marTop w:val="40"/>
          <w:marBottom w:val="20"/>
          <w:divBdr>
            <w:top w:val="none" w:sz="0" w:space="0" w:color="auto"/>
            <w:left w:val="none" w:sz="0" w:space="0" w:color="auto"/>
            <w:bottom w:val="none" w:sz="0" w:space="0" w:color="auto"/>
            <w:right w:val="none" w:sz="0" w:space="0" w:color="auto"/>
          </w:divBdr>
        </w:div>
        <w:div w:id="1254777542">
          <w:marLeft w:val="547"/>
          <w:marRight w:val="0"/>
          <w:marTop w:val="40"/>
          <w:marBottom w:val="20"/>
          <w:divBdr>
            <w:top w:val="none" w:sz="0" w:space="0" w:color="auto"/>
            <w:left w:val="none" w:sz="0" w:space="0" w:color="auto"/>
            <w:bottom w:val="none" w:sz="0" w:space="0" w:color="auto"/>
            <w:right w:val="none" w:sz="0" w:space="0" w:color="auto"/>
          </w:divBdr>
        </w:div>
        <w:div w:id="1603688507">
          <w:marLeft w:val="547"/>
          <w:marRight w:val="0"/>
          <w:marTop w:val="40"/>
          <w:marBottom w:val="20"/>
          <w:divBdr>
            <w:top w:val="none" w:sz="0" w:space="0" w:color="auto"/>
            <w:left w:val="none" w:sz="0" w:space="0" w:color="auto"/>
            <w:bottom w:val="none" w:sz="0" w:space="0" w:color="auto"/>
            <w:right w:val="none" w:sz="0" w:space="0" w:color="auto"/>
          </w:divBdr>
        </w:div>
        <w:div w:id="1820491306">
          <w:marLeft w:val="547"/>
          <w:marRight w:val="0"/>
          <w:marTop w:val="40"/>
          <w:marBottom w:val="20"/>
          <w:divBdr>
            <w:top w:val="none" w:sz="0" w:space="0" w:color="auto"/>
            <w:left w:val="none" w:sz="0" w:space="0" w:color="auto"/>
            <w:bottom w:val="none" w:sz="0" w:space="0" w:color="auto"/>
            <w:right w:val="none" w:sz="0" w:space="0" w:color="auto"/>
          </w:divBdr>
        </w:div>
      </w:divsChild>
    </w:div>
    <w:div w:id="1213469724">
      <w:bodyDiv w:val="1"/>
      <w:marLeft w:val="0"/>
      <w:marRight w:val="0"/>
      <w:marTop w:val="0"/>
      <w:marBottom w:val="0"/>
      <w:divBdr>
        <w:top w:val="none" w:sz="0" w:space="0" w:color="auto"/>
        <w:left w:val="none" w:sz="0" w:space="0" w:color="auto"/>
        <w:bottom w:val="none" w:sz="0" w:space="0" w:color="auto"/>
        <w:right w:val="none" w:sz="0" w:space="0" w:color="auto"/>
      </w:divBdr>
      <w:divsChild>
        <w:div w:id="779373052">
          <w:marLeft w:val="547"/>
          <w:marRight w:val="0"/>
          <w:marTop w:val="0"/>
          <w:marBottom w:val="0"/>
          <w:divBdr>
            <w:top w:val="none" w:sz="0" w:space="0" w:color="auto"/>
            <w:left w:val="none" w:sz="0" w:space="0" w:color="auto"/>
            <w:bottom w:val="none" w:sz="0" w:space="0" w:color="auto"/>
            <w:right w:val="none" w:sz="0" w:space="0" w:color="auto"/>
          </w:divBdr>
        </w:div>
        <w:div w:id="1761029210">
          <w:marLeft w:val="1166"/>
          <w:marRight w:val="0"/>
          <w:marTop w:val="0"/>
          <w:marBottom w:val="0"/>
          <w:divBdr>
            <w:top w:val="none" w:sz="0" w:space="0" w:color="auto"/>
            <w:left w:val="none" w:sz="0" w:space="0" w:color="auto"/>
            <w:bottom w:val="none" w:sz="0" w:space="0" w:color="auto"/>
            <w:right w:val="none" w:sz="0" w:space="0" w:color="auto"/>
          </w:divBdr>
        </w:div>
        <w:div w:id="148059388">
          <w:marLeft w:val="1166"/>
          <w:marRight w:val="0"/>
          <w:marTop w:val="0"/>
          <w:marBottom w:val="0"/>
          <w:divBdr>
            <w:top w:val="none" w:sz="0" w:space="0" w:color="auto"/>
            <w:left w:val="none" w:sz="0" w:space="0" w:color="auto"/>
            <w:bottom w:val="none" w:sz="0" w:space="0" w:color="auto"/>
            <w:right w:val="none" w:sz="0" w:space="0" w:color="auto"/>
          </w:divBdr>
        </w:div>
        <w:div w:id="1199854721">
          <w:marLeft w:val="1166"/>
          <w:marRight w:val="0"/>
          <w:marTop w:val="0"/>
          <w:marBottom w:val="0"/>
          <w:divBdr>
            <w:top w:val="none" w:sz="0" w:space="0" w:color="auto"/>
            <w:left w:val="none" w:sz="0" w:space="0" w:color="auto"/>
            <w:bottom w:val="none" w:sz="0" w:space="0" w:color="auto"/>
            <w:right w:val="none" w:sz="0" w:space="0" w:color="auto"/>
          </w:divBdr>
        </w:div>
        <w:div w:id="2010676594">
          <w:marLeft w:val="1166"/>
          <w:marRight w:val="0"/>
          <w:marTop w:val="0"/>
          <w:marBottom w:val="0"/>
          <w:divBdr>
            <w:top w:val="none" w:sz="0" w:space="0" w:color="auto"/>
            <w:left w:val="none" w:sz="0" w:space="0" w:color="auto"/>
            <w:bottom w:val="none" w:sz="0" w:space="0" w:color="auto"/>
            <w:right w:val="none" w:sz="0" w:space="0" w:color="auto"/>
          </w:divBdr>
        </w:div>
        <w:div w:id="414744427">
          <w:marLeft w:val="547"/>
          <w:marRight w:val="0"/>
          <w:marTop w:val="0"/>
          <w:marBottom w:val="0"/>
          <w:divBdr>
            <w:top w:val="none" w:sz="0" w:space="0" w:color="auto"/>
            <w:left w:val="none" w:sz="0" w:space="0" w:color="auto"/>
            <w:bottom w:val="none" w:sz="0" w:space="0" w:color="auto"/>
            <w:right w:val="none" w:sz="0" w:space="0" w:color="auto"/>
          </w:divBdr>
        </w:div>
        <w:div w:id="1595237669">
          <w:marLeft w:val="1166"/>
          <w:marRight w:val="0"/>
          <w:marTop w:val="0"/>
          <w:marBottom w:val="0"/>
          <w:divBdr>
            <w:top w:val="none" w:sz="0" w:space="0" w:color="auto"/>
            <w:left w:val="none" w:sz="0" w:space="0" w:color="auto"/>
            <w:bottom w:val="none" w:sz="0" w:space="0" w:color="auto"/>
            <w:right w:val="none" w:sz="0" w:space="0" w:color="auto"/>
          </w:divBdr>
        </w:div>
        <w:div w:id="1758558053">
          <w:marLeft w:val="1166"/>
          <w:marRight w:val="0"/>
          <w:marTop w:val="0"/>
          <w:marBottom w:val="0"/>
          <w:divBdr>
            <w:top w:val="none" w:sz="0" w:space="0" w:color="auto"/>
            <w:left w:val="none" w:sz="0" w:space="0" w:color="auto"/>
            <w:bottom w:val="none" w:sz="0" w:space="0" w:color="auto"/>
            <w:right w:val="none" w:sz="0" w:space="0" w:color="auto"/>
          </w:divBdr>
        </w:div>
        <w:div w:id="2000158901">
          <w:marLeft w:val="1166"/>
          <w:marRight w:val="0"/>
          <w:marTop w:val="0"/>
          <w:marBottom w:val="0"/>
          <w:divBdr>
            <w:top w:val="none" w:sz="0" w:space="0" w:color="auto"/>
            <w:left w:val="none" w:sz="0" w:space="0" w:color="auto"/>
            <w:bottom w:val="none" w:sz="0" w:space="0" w:color="auto"/>
            <w:right w:val="none" w:sz="0" w:space="0" w:color="auto"/>
          </w:divBdr>
        </w:div>
        <w:div w:id="640768210">
          <w:marLeft w:val="1166"/>
          <w:marRight w:val="0"/>
          <w:marTop w:val="0"/>
          <w:marBottom w:val="0"/>
          <w:divBdr>
            <w:top w:val="none" w:sz="0" w:space="0" w:color="auto"/>
            <w:left w:val="none" w:sz="0" w:space="0" w:color="auto"/>
            <w:bottom w:val="none" w:sz="0" w:space="0" w:color="auto"/>
            <w:right w:val="none" w:sz="0" w:space="0" w:color="auto"/>
          </w:divBdr>
        </w:div>
        <w:div w:id="262154761">
          <w:marLeft w:val="547"/>
          <w:marRight w:val="0"/>
          <w:marTop w:val="0"/>
          <w:marBottom w:val="0"/>
          <w:divBdr>
            <w:top w:val="none" w:sz="0" w:space="0" w:color="auto"/>
            <w:left w:val="none" w:sz="0" w:space="0" w:color="auto"/>
            <w:bottom w:val="none" w:sz="0" w:space="0" w:color="auto"/>
            <w:right w:val="none" w:sz="0" w:space="0" w:color="auto"/>
          </w:divBdr>
        </w:div>
        <w:div w:id="1062749984">
          <w:marLeft w:val="1166"/>
          <w:marRight w:val="0"/>
          <w:marTop w:val="0"/>
          <w:marBottom w:val="0"/>
          <w:divBdr>
            <w:top w:val="none" w:sz="0" w:space="0" w:color="auto"/>
            <w:left w:val="none" w:sz="0" w:space="0" w:color="auto"/>
            <w:bottom w:val="none" w:sz="0" w:space="0" w:color="auto"/>
            <w:right w:val="none" w:sz="0" w:space="0" w:color="auto"/>
          </w:divBdr>
        </w:div>
        <w:div w:id="791019930">
          <w:marLeft w:val="1800"/>
          <w:marRight w:val="0"/>
          <w:marTop w:val="0"/>
          <w:marBottom w:val="0"/>
          <w:divBdr>
            <w:top w:val="none" w:sz="0" w:space="0" w:color="auto"/>
            <w:left w:val="none" w:sz="0" w:space="0" w:color="auto"/>
            <w:bottom w:val="none" w:sz="0" w:space="0" w:color="auto"/>
            <w:right w:val="none" w:sz="0" w:space="0" w:color="auto"/>
          </w:divBdr>
        </w:div>
        <w:div w:id="1746103078">
          <w:marLeft w:val="1800"/>
          <w:marRight w:val="0"/>
          <w:marTop w:val="0"/>
          <w:marBottom w:val="0"/>
          <w:divBdr>
            <w:top w:val="none" w:sz="0" w:space="0" w:color="auto"/>
            <w:left w:val="none" w:sz="0" w:space="0" w:color="auto"/>
            <w:bottom w:val="none" w:sz="0" w:space="0" w:color="auto"/>
            <w:right w:val="none" w:sz="0" w:space="0" w:color="auto"/>
          </w:divBdr>
        </w:div>
      </w:divsChild>
    </w:div>
    <w:div w:id="148682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ern.ch/r2e" TargetMode="External"/><Relationship Id="rId13" Type="http://schemas.openxmlformats.org/officeDocument/2006/relationships/image" Target="cid:image001.png@01CB50D3.BE041050" TargetMode="External"/><Relationship Id="rId18" Type="http://schemas.openxmlformats.org/officeDocument/2006/relationships/image" Target="media/image9.emf"/><Relationship Id="rId26" Type="http://schemas.openxmlformats.org/officeDocument/2006/relationships/hyperlink" Target="http://indico.cern.ch/getFile.py/access?contribId=29&amp;sessionId=6&amp;resId=0&amp;materialId=paper&amp;confId=6783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ndico.cern.ch/getFile.py/access?contribId=29&amp;sessionId=6&amp;resId=0&amp;materialId=paper&amp;confId=67839" TargetMode="External"/><Relationship Id="rId34" Type="http://schemas.openxmlformats.org/officeDocument/2006/relationships/hyperlink" Target="http://indico.cern.ch/conferenceDisplay.py?confId=8547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yperlink" Target="https://edms.cern.ch/document/1092170" TargetMode="External"/><Relationship Id="rId33" Type="http://schemas.openxmlformats.org/officeDocument/2006/relationships/hyperlink" Target="http://indico.cern.ch/getFile.py/access?contribId=8&amp;resId=1&amp;materialId=slides&amp;confId=1138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espace.cern.ch/lhc-machine-committee/Presentations/1/lmc_67/LMC_67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edms.cern.ch/document/1092167" TargetMode="External"/><Relationship Id="rId32" Type="http://schemas.openxmlformats.org/officeDocument/2006/relationships/hyperlink" Target="http://indico.cern.ch/getFile.py/access?subContId=0&amp;contribId=0&amp;resId=1&amp;materialId=slides&amp;confId=92751" TargetMode="External"/><Relationship Id="rId37" Type="http://schemas.openxmlformats.org/officeDocument/2006/relationships/hyperlink" Target="http://indico.cern.ch/event/R2E_Workshop_2010" TargetMode="Externa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s://edms.cern.ch/document/1092113" TargetMode="External"/><Relationship Id="rId28" Type="http://schemas.openxmlformats.org/officeDocument/2006/relationships/hyperlink" Target="http://indico.cern.ch/conferenceOtherViews.py?view=standard&amp;confId=67839" TargetMode="External"/><Relationship Id="rId36" Type="http://schemas.openxmlformats.org/officeDocument/2006/relationships/hyperlink" Target="http://indico.cern.ch/event/R2E_Workshop_2010"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yperlink" Target="http://indico.cern.ch/getFile.py/access?contribId=2&amp;resId=1&amp;materialId=slides&amp;confId=61705" TargetMode="External"/><Relationship Id="rId4" Type="http://schemas.openxmlformats.org/officeDocument/2006/relationships/settings" Target="settings.xml"/><Relationship Id="rId9" Type="http://schemas.openxmlformats.org/officeDocument/2006/relationships/hyperlink" Target="http://www.cern.ch/radwg" TargetMode="External"/><Relationship Id="rId14" Type="http://schemas.openxmlformats.org/officeDocument/2006/relationships/image" Target="media/image5.emf"/><Relationship Id="rId22" Type="http://schemas.openxmlformats.org/officeDocument/2006/relationships/hyperlink" Target="https://edms.cern.ch/document/1086566" TargetMode="External"/><Relationship Id="rId27" Type="http://schemas.openxmlformats.org/officeDocument/2006/relationships/hyperlink" Target="http://www.cern.ch/r2e" TargetMode="External"/><Relationship Id="rId30" Type="http://schemas.openxmlformats.org/officeDocument/2006/relationships/hyperlink" Target="http://www.cern.ch/radwg" TargetMode="External"/><Relationship Id="rId35" Type="http://schemas.openxmlformats.org/officeDocument/2006/relationships/hyperlink" Target="http://indico.cern.ch/conferenceDisplay.py?confId=8547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Markus\Working%20Stuff\EET_IR7\Electronics\R2E\Presentations\Outcome\Chamonix10\Papers\Paper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FC8C5-BA0D-46E1-897E-373572188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Paper_Template.dotm</Template>
  <TotalTime>2708</TotalTime>
  <Pages>14</Pages>
  <Words>8843</Words>
  <Characters>50408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59133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Brugger</dc:creator>
  <cp:lastModifiedBy>Markus Brugger</cp:lastModifiedBy>
  <cp:revision>73</cp:revision>
  <cp:lastPrinted>2011-03-22T12:36:00Z</cp:lastPrinted>
  <dcterms:created xsi:type="dcterms:W3CDTF">2010-03-21T15:37:00Z</dcterms:created>
  <dcterms:modified xsi:type="dcterms:W3CDTF">2011-04-04T08:05:00Z</dcterms:modified>
</cp:coreProperties>
</file>