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5D2805" w:rsidRDefault="0048209D">
      <w:pPr>
        <w:pStyle w:val="Title"/>
        <w:spacing w:after="160"/>
        <w:jc w:val="both"/>
        <w:rPr>
          <w:sz w:val="50"/>
          <w:szCs w:val="50"/>
        </w:rPr>
      </w:pPr>
      <w:bookmarkStart w:id="0" w:name="_45800hnx0a8e" w:colFirst="0" w:colLast="0"/>
      <w:bookmarkEnd w:id="0"/>
      <w:r>
        <w:rPr>
          <w:sz w:val="50"/>
          <w:szCs w:val="50"/>
        </w:rPr>
        <w:t>61</w:t>
      </w:r>
      <w:r>
        <w:rPr>
          <w:sz w:val="50"/>
          <w:szCs w:val="50"/>
          <w:vertAlign w:val="superscript"/>
        </w:rPr>
        <w:t>st</w:t>
      </w:r>
      <w:r>
        <w:rPr>
          <w:sz w:val="50"/>
          <w:szCs w:val="50"/>
        </w:rPr>
        <w:t xml:space="preserve"> Impedance Working Group Minutes</w:t>
      </w:r>
    </w:p>
    <w:p w14:paraId="00000002" w14:textId="77777777" w:rsidR="005D2805" w:rsidRDefault="0048209D">
      <w:pPr>
        <w:spacing w:after="160"/>
        <w:jc w:val="both"/>
        <w:rPr>
          <w:rFonts w:ascii="Arial" w:eastAsia="Arial" w:hAnsi="Arial" w:cs="Arial"/>
          <w:sz w:val="20"/>
          <w:szCs w:val="20"/>
        </w:rPr>
      </w:pPr>
      <w:r>
        <w:rPr>
          <w:rFonts w:ascii="Arial" w:eastAsia="Arial" w:hAnsi="Arial" w:cs="Arial"/>
          <w:sz w:val="20"/>
          <w:szCs w:val="20"/>
        </w:rPr>
        <w:t>Location: Zoom</w:t>
      </w:r>
    </w:p>
    <w:p w14:paraId="00000003" w14:textId="77777777" w:rsidR="005D2805" w:rsidRPr="005A174E" w:rsidRDefault="0048209D">
      <w:pPr>
        <w:spacing w:after="160"/>
        <w:jc w:val="both"/>
        <w:rPr>
          <w:rFonts w:ascii="Arial" w:eastAsia="Arial" w:hAnsi="Arial" w:cs="Arial"/>
          <w:sz w:val="20"/>
          <w:szCs w:val="20"/>
          <w:lang w:val="es-ES"/>
        </w:rPr>
      </w:pPr>
      <w:r w:rsidRPr="005A174E">
        <w:rPr>
          <w:rFonts w:ascii="Arial" w:eastAsia="Arial" w:hAnsi="Arial" w:cs="Arial"/>
          <w:sz w:val="20"/>
          <w:szCs w:val="20"/>
          <w:lang w:val="es-ES"/>
        </w:rPr>
        <w:t xml:space="preserve">Indico page: </w:t>
      </w:r>
      <w:hyperlink r:id="rId7">
        <w:r w:rsidRPr="005A174E">
          <w:rPr>
            <w:rFonts w:ascii="Arial" w:eastAsia="Arial" w:hAnsi="Arial" w:cs="Arial"/>
            <w:color w:val="1155CC"/>
            <w:sz w:val="20"/>
            <w:szCs w:val="20"/>
            <w:u w:val="single"/>
            <w:lang w:val="es-ES"/>
          </w:rPr>
          <w:t>https://indico.cern.ch/event/1181518/</w:t>
        </w:r>
      </w:hyperlink>
      <w:r w:rsidRPr="005A174E">
        <w:rPr>
          <w:rFonts w:ascii="Arial" w:eastAsia="Arial" w:hAnsi="Arial" w:cs="Arial"/>
          <w:sz w:val="20"/>
          <w:szCs w:val="20"/>
          <w:lang w:val="es-ES"/>
        </w:rPr>
        <w:t xml:space="preserve"> </w:t>
      </w:r>
    </w:p>
    <w:p w14:paraId="00000004" w14:textId="7B6EF63C" w:rsidR="005D2805" w:rsidRDefault="0048209D">
      <w:pPr>
        <w:spacing w:after="160"/>
        <w:jc w:val="both"/>
        <w:rPr>
          <w:rFonts w:ascii="Arial" w:eastAsia="Arial" w:hAnsi="Arial" w:cs="Arial"/>
        </w:rPr>
      </w:pPr>
      <w:r>
        <w:rPr>
          <w:rFonts w:ascii="Arial" w:eastAsia="Arial" w:hAnsi="Arial" w:cs="Arial"/>
          <w:b/>
          <w:sz w:val="22"/>
          <w:szCs w:val="22"/>
        </w:rPr>
        <w:t>Agenda of 61st IWG meeting, July 2</w:t>
      </w:r>
      <w:r w:rsidR="00A96B0C">
        <w:rPr>
          <w:rFonts w:ascii="Arial" w:eastAsia="Arial" w:hAnsi="Arial" w:cs="Arial"/>
          <w:b/>
          <w:sz w:val="22"/>
          <w:szCs w:val="22"/>
        </w:rPr>
        <w:t>6</w:t>
      </w:r>
      <w:r>
        <w:rPr>
          <w:rFonts w:ascii="Arial" w:eastAsia="Arial" w:hAnsi="Arial" w:cs="Arial"/>
          <w:b/>
          <w:sz w:val="22"/>
          <w:szCs w:val="22"/>
        </w:rPr>
        <w:t>th</w:t>
      </w:r>
      <w:proofErr w:type="gramStart"/>
      <w:r>
        <w:rPr>
          <w:rFonts w:ascii="Arial" w:eastAsia="Arial" w:hAnsi="Arial" w:cs="Arial"/>
          <w:b/>
          <w:sz w:val="22"/>
          <w:szCs w:val="22"/>
        </w:rPr>
        <w:t xml:space="preserve"> 2022</w:t>
      </w:r>
      <w:proofErr w:type="gramEnd"/>
      <w:r>
        <w:rPr>
          <w:rFonts w:ascii="Arial" w:eastAsia="Arial" w:hAnsi="Arial" w:cs="Arial"/>
          <w:b/>
          <w:sz w:val="22"/>
          <w:szCs w:val="22"/>
        </w:rPr>
        <w:t>:</w:t>
      </w:r>
    </w:p>
    <w:p w14:paraId="00000005" w14:textId="77777777" w:rsidR="005D2805" w:rsidRDefault="0048209D">
      <w:pPr>
        <w:numPr>
          <w:ilvl w:val="0"/>
          <w:numId w:val="2"/>
        </w:numPr>
        <w:spacing w:before="240"/>
        <w:jc w:val="both"/>
      </w:pPr>
      <w:r>
        <w:rPr>
          <w:rFonts w:ascii="Arial" w:eastAsia="Arial" w:hAnsi="Arial" w:cs="Arial"/>
          <w:sz w:val="20"/>
          <w:szCs w:val="20"/>
        </w:rPr>
        <w:t>Review of 60th meeting minutes (chairs)</w:t>
      </w:r>
    </w:p>
    <w:p w14:paraId="00000006" w14:textId="77777777" w:rsidR="005D2805" w:rsidRDefault="0048209D">
      <w:pPr>
        <w:numPr>
          <w:ilvl w:val="0"/>
          <w:numId w:val="2"/>
        </w:numPr>
        <w:jc w:val="both"/>
      </w:pPr>
      <w:r>
        <w:rPr>
          <w:rFonts w:ascii="Arial" w:eastAsia="Arial" w:hAnsi="Arial" w:cs="Arial"/>
          <w:sz w:val="20"/>
          <w:szCs w:val="20"/>
        </w:rPr>
        <w:t>Impedance measurements and simulation on the KFA</w:t>
      </w:r>
      <w:proofErr w:type="gramStart"/>
      <w:r>
        <w:rPr>
          <w:rFonts w:ascii="Arial" w:eastAsia="Arial" w:hAnsi="Arial" w:cs="Arial"/>
          <w:sz w:val="20"/>
          <w:szCs w:val="20"/>
        </w:rPr>
        <w:t>79  (</w:t>
      </w:r>
      <w:proofErr w:type="gramEnd"/>
      <w:r>
        <w:rPr>
          <w:rFonts w:ascii="Arial" w:eastAsia="Arial" w:hAnsi="Arial" w:cs="Arial"/>
          <w:sz w:val="20"/>
          <w:szCs w:val="20"/>
        </w:rPr>
        <w:t>Michela Neroni)</w:t>
      </w:r>
    </w:p>
    <w:p w14:paraId="00000007" w14:textId="77777777" w:rsidR="005D2805" w:rsidRDefault="0048209D">
      <w:pPr>
        <w:numPr>
          <w:ilvl w:val="0"/>
          <w:numId w:val="2"/>
        </w:numPr>
        <w:jc w:val="both"/>
      </w:pPr>
      <w:r>
        <w:rPr>
          <w:rFonts w:ascii="Arial" w:eastAsia="Arial" w:hAnsi="Arial" w:cs="Arial"/>
          <w:sz w:val="20"/>
          <w:szCs w:val="20"/>
        </w:rPr>
        <w:t xml:space="preserve">News from the experiments (Lorenzo </w:t>
      </w:r>
      <w:proofErr w:type="spellStart"/>
      <w:r>
        <w:rPr>
          <w:rFonts w:ascii="Arial" w:eastAsia="Arial" w:hAnsi="Arial" w:cs="Arial"/>
          <w:sz w:val="20"/>
          <w:szCs w:val="20"/>
        </w:rPr>
        <w:t>Giacomel</w:t>
      </w:r>
      <w:proofErr w:type="spellEnd"/>
      <w:r>
        <w:rPr>
          <w:rFonts w:ascii="Arial" w:eastAsia="Arial" w:hAnsi="Arial" w:cs="Arial"/>
          <w:sz w:val="20"/>
          <w:szCs w:val="20"/>
        </w:rPr>
        <w:t>)</w:t>
      </w:r>
    </w:p>
    <w:p w14:paraId="00000008" w14:textId="77777777" w:rsidR="005D2805" w:rsidRDefault="0048209D">
      <w:pPr>
        <w:numPr>
          <w:ilvl w:val="0"/>
          <w:numId w:val="1"/>
        </w:numPr>
        <w:jc w:val="both"/>
      </w:pPr>
      <w:proofErr w:type="spellStart"/>
      <w:r>
        <w:rPr>
          <w:rFonts w:ascii="Arial" w:eastAsia="Arial" w:hAnsi="Arial" w:cs="Arial"/>
          <w:sz w:val="20"/>
          <w:szCs w:val="20"/>
        </w:rPr>
        <w:t>AoB</w:t>
      </w:r>
      <w:proofErr w:type="spellEnd"/>
    </w:p>
    <w:p w14:paraId="00000009" w14:textId="77777777" w:rsidR="005D2805" w:rsidRDefault="005D2805">
      <w:pPr>
        <w:rPr>
          <w:rFonts w:ascii="Arial" w:eastAsia="Arial" w:hAnsi="Arial" w:cs="Arial"/>
        </w:rPr>
      </w:pPr>
    </w:p>
    <w:p w14:paraId="0000000A" w14:textId="77777777" w:rsidR="005D2805" w:rsidRDefault="0048209D">
      <w:pPr>
        <w:spacing w:before="240" w:after="160"/>
        <w:jc w:val="both"/>
        <w:rPr>
          <w:rFonts w:ascii="Arial" w:eastAsia="Arial" w:hAnsi="Arial" w:cs="Arial"/>
          <w:b/>
        </w:rPr>
      </w:pPr>
      <w:r>
        <w:rPr>
          <w:rFonts w:ascii="Arial" w:eastAsia="Arial" w:hAnsi="Arial" w:cs="Arial"/>
          <w:b/>
        </w:rPr>
        <w:t>Present: Chiara Antuono, Mike Barnes,</w:t>
      </w:r>
      <w:r>
        <w:rPr>
          <w:rFonts w:ascii="Arial" w:eastAsia="Arial" w:hAnsi="Arial" w:cs="Arial"/>
          <w:b/>
          <w:color w:val="7F7F7F"/>
        </w:rPr>
        <w:t xml:space="preserve"> </w:t>
      </w:r>
      <w:r>
        <w:rPr>
          <w:rFonts w:ascii="Arial" w:eastAsia="Arial" w:hAnsi="Arial" w:cs="Arial"/>
          <w:b/>
        </w:rPr>
        <w:t xml:space="preserve">Xavier </w:t>
      </w:r>
      <w:proofErr w:type="spellStart"/>
      <w:r>
        <w:rPr>
          <w:rFonts w:ascii="Arial" w:eastAsia="Arial" w:hAnsi="Arial" w:cs="Arial"/>
          <w:b/>
        </w:rPr>
        <w:t>Buffat</w:t>
      </w:r>
      <w:proofErr w:type="spellEnd"/>
      <w:r>
        <w:rPr>
          <w:rFonts w:ascii="Arial" w:eastAsia="Arial" w:hAnsi="Arial" w:cs="Arial"/>
          <w:b/>
        </w:rPr>
        <w:t xml:space="preserve">, Rama Calaga, Fritz Caspers, Miguel Diaz, Lorenzo </w:t>
      </w:r>
      <w:proofErr w:type="spellStart"/>
      <w:r>
        <w:rPr>
          <w:rFonts w:ascii="Arial" w:eastAsia="Arial" w:hAnsi="Arial" w:cs="Arial"/>
          <w:b/>
        </w:rPr>
        <w:t>Giacomel</w:t>
      </w:r>
      <w:proofErr w:type="spellEnd"/>
      <w:r>
        <w:rPr>
          <w:rFonts w:ascii="Arial" w:eastAsia="Arial" w:hAnsi="Arial" w:cs="Arial"/>
          <w:b/>
        </w:rPr>
        <w:t xml:space="preserve">, Tina Griesemer, Alexej Grudiev, Helene Guerin, Patrick Krkotic, Adnan Kurtulus, </w:t>
      </w:r>
      <w:proofErr w:type="spellStart"/>
      <w:r>
        <w:rPr>
          <w:rFonts w:ascii="Arial" w:eastAsia="Arial" w:hAnsi="Arial" w:cs="Arial"/>
          <w:b/>
        </w:rPr>
        <w:t>Phani</w:t>
      </w:r>
      <w:proofErr w:type="spellEnd"/>
      <w:r>
        <w:rPr>
          <w:rFonts w:ascii="Arial" w:eastAsia="Arial" w:hAnsi="Arial" w:cs="Arial"/>
          <w:b/>
        </w:rPr>
        <w:t xml:space="preserve"> </w:t>
      </w:r>
      <w:proofErr w:type="spellStart"/>
      <w:r>
        <w:rPr>
          <w:rFonts w:ascii="Arial" w:eastAsia="Arial" w:hAnsi="Arial" w:cs="Arial"/>
          <w:b/>
        </w:rPr>
        <w:t>Meruga</w:t>
      </w:r>
      <w:proofErr w:type="spellEnd"/>
      <w:r>
        <w:rPr>
          <w:rFonts w:ascii="Arial" w:eastAsia="Arial" w:hAnsi="Arial" w:cs="Arial"/>
          <w:b/>
        </w:rPr>
        <w:t>, Nicolas Mounet, Michela Neroni, Benoit Salvant, Leonardo Sito, Michael Stephen Sullivan, Miguel Valente Dos Santos, Christine Vollinger, Rui Franqueira Ximenes.</w:t>
      </w:r>
    </w:p>
    <w:p w14:paraId="0000000B" w14:textId="7C9A9DDC" w:rsidR="005D2805" w:rsidRDefault="0048209D">
      <w:pPr>
        <w:pStyle w:val="Heading1"/>
      </w:pPr>
      <w:bookmarkStart w:id="1" w:name="_5cwwyuv866l1" w:colFirst="0" w:colLast="0"/>
      <w:bookmarkEnd w:id="1"/>
      <w:r>
        <w:t>Review of minutes from 60th meeting</w:t>
      </w:r>
      <w:r w:rsidR="00804B93">
        <w:t xml:space="preserve"> postponed</w:t>
      </w:r>
    </w:p>
    <w:p w14:paraId="0000000C" w14:textId="77777777" w:rsidR="005D2805" w:rsidRDefault="005D2805"/>
    <w:p w14:paraId="0000000D" w14:textId="77777777" w:rsidR="005D2805" w:rsidRDefault="0048209D">
      <w:pPr>
        <w:pStyle w:val="Heading1"/>
      </w:pPr>
      <w:bookmarkStart w:id="2" w:name="_g2en2rqbqhwr" w:colFirst="0" w:colLast="0"/>
      <w:bookmarkEnd w:id="2"/>
      <w:r>
        <w:t>Impedance measurement and simulation on the KFA79 (Michela Neroni)</w:t>
      </w:r>
    </w:p>
    <w:p w14:paraId="0000000E" w14:textId="6AE952DB" w:rsidR="005D2805" w:rsidRDefault="0048209D">
      <w:pPr>
        <w:spacing w:before="240" w:after="240"/>
      </w:pPr>
      <w:r>
        <w:t xml:space="preserve">Michela introduces the kicker KFA79, a fast extraction kicker in the PS accelerator. This kicker </w:t>
      </w:r>
      <w:proofErr w:type="gramStart"/>
      <w:r>
        <w:t>is located in</w:t>
      </w:r>
      <w:proofErr w:type="gramEnd"/>
      <w:r>
        <w:t xml:space="preserve"> a fast extraction line in the PS </w:t>
      </w:r>
      <w:r w:rsidR="004F6E47">
        <w:t>accelerator,</w:t>
      </w:r>
      <w:r>
        <w:t xml:space="preserve"> and it is composed by three identical module units, </w:t>
      </w:r>
      <w:r w:rsidR="003F1E96">
        <w:t xml:space="preserve">the module </w:t>
      </w:r>
      <w:r>
        <w:t xml:space="preserve">geometry is used also in other kickers in the PS. As shown in the kicker layout, the input connector of each magnet module is electrically connected to a main switch, equivalently open in operating conditions, and the output connector to a 15 Ω characteristic impedance line.  </w:t>
      </w:r>
    </w:p>
    <w:p w14:paraId="0000000F" w14:textId="77777777" w:rsidR="005D2805" w:rsidRDefault="0048209D">
      <w:pPr>
        <w:spacing w:before="240" w:after="240"/>
        <w:rPr>
          <w:b/>
        </w:rPr>
      </w:pPr>
      <w:r>
        <w:rPr>
          <w:b/>
        </w:rPr>
        <w:t>KFA79 CST model and longitudinal impedance</w:t>
      </w:r>
    </w:p>
    <w:p w14:paraId="00000010" w14:textId="78E0B8BC" w:rsidR="005D2805" w:rsidRDefault="0048209D">
      <w:pPr>
        <w:spacing w:before="240" w:after="240"/>
      </w:pPr>
      <w:r>
        <w:t xml:space="preserve">Michela introduces the new 3D model of the kicker. In comparison with the old one, presented by Branko Popovic in 2017, some modifications have been implemented on the shape of laminations and </w:t>
      </w:r>
      <w:r w:rsidR="00387E8C">
        <w:t xml:space="preserve">on the </w:t>
      </w:r>
      <w:r>
        <w:t>frame of each module unit, according with the new drawings, as well as on the shape of the vacuum tank, now easier to manufacture. The ferrite used is 8C11, whose magnetic permeability values in function of frequency have been measured in the past by the ABT group.</w:t>
      </w:r>
    </w:p>
    <w:p w14:paraId="00000011" w14:textId="77777777" w:rsidR="005D2805" w:rsidRDefault="0048209D">
      <w:pPr>
        <w:spacing w:before="240" w:after="240"/>
      </w:pPr>
      <w:r>
        <w:t xml:space="preserve">Michela shows the results from the </w:t>
      </w:r>
      <w:proofErr w:type="spellStart"/>
      <w:r>
        <w:t>wakefield</w:t>
      </w:r>
      <w:proofErr w:type="spellEnd"/>
      <w:r>
        <w:t xml:space="preserve"> simulation comparing the longitudinal impedance of the old model (2017) with the new one. The overall behaviour did not change </w:t>
      </w:r>
      <w:r>
        <w:lastRenderedPageBreak/>
        <w:t>after the modifications in the 3D geometry were implemented and she explains that three main impedance contributions are expected:</w:t>
      </w:r>
    </w:p>
    <w:p w14:paraId="00000012" w14:textId="77777777" w:rsidR="005D2805" w:rsidRDefault="0048209D">
      <w:pPr>
        <w:spacing w:before="240" w:after="240"/>
        <w:ind w:left="360"/>
      </w:pPr>
      <w:r>
        <w:t>-</w:t>
      </w:r>
      <w:r>
        <w:rPr>
          <w:sz w:val="14"/>
          <w:szCs w:val="14"/>
        </w:rPr>
        <w:t xml:space="preserve">          </w:t>
      </w:r>
      <w:r>
        <w:t xml:space="preserve">a </w:t>
      </w:r>
      <w:r>
        <w:rPr>
          <w:b/>
        </w:rPr>
        <w:t>broadband behaviour</w:t>
      </w:r>
      <w:r>
        <w:t xml:space="preserve"> driven by the ferrite </w:t>
      </w:r>
      <w:proofErr w:type="gramStart"/>
      <w:r>
        <w:t>elements;</w:t>
      </w:r>
      <w:proofErr w:type="gramEnd"/>
    </w:p>
    <w:p w14:paraId="00000013" w14:textId="1B76C37D" w:rsidR="005D2805" w:rsidRDefault="0048209D">
      <w:pPr>
        <w:spacing w:before="240" w:after="240"/>
        <w:ind w:left="360"/>
      </w:pPr>
      <w:r>
        <w:t>-</w:t>
      </w:r>
      <w:r>
        <w:rPr>
          <w:sz w:val="14"/>
          <w:szCs w:val="14"/>
        </w:rPr>
        <w:t xml:space="preserve">          </w:t>
      </w:r>
      <w:r>
        <w:rPr>
          <w:b/>
        </w:rPr>
        <w:t>three low frequency resonances</w:t>
      </w:r>
      <w:r>
        <w:t xml:space="preserve">, </w:t>
      </w:r>
      <w:r w:rsidR="005F4267">
        <w:t xml:space="preserve">which were already identified as </w:t>
      </w:r>
      <w:r>
        <w:t>possible cause of beam instabilities</w:t>
      </w:r>
      <w:r w:rsidR="005F4267">
        <w:t>,</w:t>
      </w:r>
      <w:r>
        <w:t xml:space="preserve"> and therefore of greatest </w:t>
      </w:r>
      <w:proofErr w:type="gramStart"/>
      <w:r>
        <w:t>interest;</w:t>
      </w:r>
      <w:proofErr w:type="gramEnd"/>
    </w:p>
    <w:p w14:paraId="00000014" w14:textId="77777777" w:rsidR="005D2805" w:rsidRDefault="0048209D">
      <w:pPr>
        <w:spacing w:before="240" w:after="240"/>
        <w:ind w:left="360"/>
      </w:pPr>
      <w:r>
        <w:t>-</w:t>
      </w:r>
      <w:r>
        <w:rPr>
          <w:sz w:val="14"/>
          <w:szCs w:val="14"/>
        </w:rPr>
        <w:t xml:space="preserve">          </w:t>
      </w:r>
      <w:r>
        <w:t xml:space="preserve">one main </w:t>
      </w:r>
      <w:r>
        <w:rPr>
          <w:b/>
        </w:rPr>
        <w:t>high frequency peak</w:t>
      </w:r>
      <w:r>
        <w:t xml:space="preserve"> around 600 </w:t>
      </w:r>
      <w:proofErr w:type="spellStart"/>
      <w:r>
        <w:t>MHz.</w:t>
      </w:r>
      <w:proofErr w:type="spellEnd"/>
    </w:p>
    <w:p w14:paraId="00000015" w14:textId="77777777" w:rsidR="005D2805" w:rsidRDefault="0048209D">
      <w:pPr>
        <w:spacing w:before="240" w:after="240"/>
        <w:rPr>
          <w:b/>
        </w:rPr>
      </w:pPr>
      <w:r>
        <w:rPr>
          <w:b/>
        </w:rPr>
        <w:t>Wire and probe measurements</w:t>
      </w:r>
    </w:p>
    <w:p w14:paraId="00000016" w14:textId="77777777" w:rsidR="005D2805" w:rsidRDefault="0048209D">
      <w:pPr>
        <w:spacing w:before="240" w:after="240"/>
      </w:pPr>
      <w:r>
        <w:t>Michela shows the wire measurements results, performed on the KFA79 in March 2022. She explains that the overall expected impedance behaviour is confirmed, with three low frequency resonances and one main resonance in the high frequency range. She also shows the results from the probe measurements, performed to check eventual additional resonances, especially in the low frequency range. A double peak around 21 MHz and one other around 47 MHz were detected by the probe but not the resonance at around 35 MHz, seen instead with the wire measurements.</w:t>
      </w:r>
    </w:p>
    <w:p w14:paraId="00000017" w14:textId="77777777" w:rsidR="005D2805" w:rsidRDefault="0048209D">
      <w:pPr>
        <w:spacing w:before="240" w:after="240"/>
        <w:rPr>
          <w:b/>
        </w:rPr>
      </w:pPr>
      <w:r>
        <w:rPr>
          <w:b/>
        </w:rPr>
        <w:t>Wakefield and wire simulations</w:t>
      </w:r>
    </w:p>
    <w:p w14:paraId="00000018" w14:textId="15C881C7" w:rsidR="005D2805" w:rsidRDefault="0048209D">
      <w:pPr>
        <w:spacing w:before="240" w:after="240"/>
      </w:pPr>
      <w:r>
        <w:t xml:space="preserve">Michela shows the results of the real longitudinal impedance from the </w:t>
      </w:r>
      <w:proofErr w:type="spellStart"/>
      <w:r>
        <w:t>wakefield</w:t>
      </w:r>
      <w:proofErr w:type="spellEnd"/>
      <w:r>
        <w:t xml:space="preserve"> simulation in comparison with those obtained from the measurements. The plots show very good agreement between the two. The simulated low frequency peaks are within 2 MHz from the measured ones, </w:t>
      </w:r>
      <w:r w:rsidR="00100E1F">
        <w:t>indicating a</w:t>
      </w:r>
      <w:r>
        <w:t xml:space="preserve"> very good match.</w:t>
      </w:r>
      <w:r>
        <w:br/>
      </w:r>
      <w:proofErr w:type="gramStart"/>
      <w:r>
        <w:t>In order to</w:t>
      </w:r>
      <w:proofErr w:type="gramEnd"/>
      <w:r>
        <w:t xml:space="preserve"> exactly reproduce the wire measurements, a wire simulation was carried out. Frequency domain and schematic solver have been used to this goal, reproducing the KFA79 as an eight ports component: port 1-2 connections to the VNA and the 6 other ports corresponding to the HV </w:t>
      </w:r>
      <w:proofErr w:type="spellStart"/>
      <w:r>
        <w:t>hookups</w:t>
      </w:r>
      <w:proofErr w:type="spellEnd"/>
      <w:r>
        <w:t xml:space="preserve"> of the kicker’s modules. Using the schematic solver, the input HV connector of each module was terminated on an ideal open transmission line and the outputs on a 15 Ω resistor, accordingly to the measurement’s setup.</w:t>
      </w:r>
      <w:r>
        <w:br/>
        <w:t xml:space="preserve">Michela shows the results for the scattering parameter S21 and the </w:t>
      </w:r>
      <w:r w:rsidR="00955593">
        <w:t>r</w:t>
      </w:r>
      <w:r>
        <w:t xml:space="preserve">eal longitudinal impedance. Also in this case, the simulation matches </w:t>
      </w:r>
      <w:r w:rsidR="00B24DF0">
        <w:t xml:space="preserve">extremely well </w:t>
      </w:r>
      <w:r>
        <w:t>with the measurements with a</w:t>
      </w:r>
      <w:r w:rsidR="00B24DF0">
        <w:t xml:space="preserve"> deviation</w:t>
      </w:r>
      <w:r>
        <w:t xml:space="preserve"> of few MHz at low frequency and with the high frequency main peak well reproduced around 660 </w:t>
      </w:r>
      <w:proofErr w:type="spellStart"/>
      <w:r>
        <w:t>MHz.</w:t>
      </w:r>
      <w:proofErr w:type="spellEnd"/>
      <w:r>
        <w:br/>
        <w:t xml:space="preserve">Michela shows also other simulation results she carried out changing the HV </w:t>
      </w:r>
      <w:proofErr w:type="spellStart"/>
      <w:r>
        <w:t>hookups</w:t>
      </w:r>
      <w:proofErr w:type="spellEnd"/>
      <w:r>
        <w:t xml:space="preserve"> terminations. She points out that, in fact, when performing the measurements, before including the 15 Ω matching resistor, a change in the longitudinal impedance was experienced using aluminium foils to perturb the module connectors. </w:t>
      </w:r>
      <w:proofErr w:type="gramStart"/>
      <w:r>
        <w:t>In particular, when</w:t>
      </w:r>
      <w:proofErr w:type="gramEnd"/>
      <w:r>
        <w:t xml:space="preserve"> leaving the HV </w:t>
      </w:r>
      <w:proofErr w:type="spellStart"/>
      <w:r>
        <w:t>hookups</w:t>
      </w:r>
      <w:proofErr w:type="spellEnd"/>
      <w:r>
        <w:t xml:space="preserve"> undefined open, another peak at 8 MHz was detected. The frequency domain simulations, with the different ports’ terminations, look consistent with what was experimented during the measurements, confirming the dependency of the low frequency peaks on the </w:t>
      </w:r>
      <w:proofErr w:type="spellStart"/>
      <w:proofErr w:type="gramStart"/>
      <w:r>
        <w:t>hookups</w:t>
      </w:r>
      <w:proofErr w:type="spellEnd"/>
      <w:proofErr w:type="gramEnd"/>
      <w:r>
        <w:t xml:space="preserve"> terminations.</w:t>
      </w:r>
    </w:p>
    <w:p w14:paraId="00000019" w14:textId="77777777" w:rsidR="005D2805" w:rsidRDefault="0048209D">
      <w:pPr>
        <w:spacing w:before="240" w:after="240"/>
        <w:rPr>
          <w:b/>
        </w:rPr>
      </w:pPr>
      <w:r>
        <w:rPr>
          <w:b/>
        </w:rPr>
        <w:t>Location of the resonances</w:t>
      </w:r>
    </w:p>
    <w:p w14:paraId="0000001A" w14:textId="762AA0D6" w:rsidR="005D2805" w:rsidRDefault="0048209D">
      <w:pPr>
        <w:spacing w:before="240" w:after="240"/>
      </w:pPr>
      <w:proofErr w:type="gramStart"/>
      <w:r>
        <w:t>In order to</w:t>
      </w:r>
      <w:proofErr w:type="gramEnd"/>
      <w:r>
        <w:t xml:space="preserve"> understand where the field is resonating, Michela shows the side and top view of two E-field monitors for the frequencies of interest: one for the main peak in the low frequency range, at 45.5 MHz, and the other one for the high frequency peak at 654 </w:t>
      </w:r>
      <w:proofErr w:type="spellStart"/>
      <w:r>
        <w:t>MHz.</w:t>
      </w:r>
      <w:proofErr w:type="spellEnd"/>
      <w:r>
        <w:t xml:space="preserve"> She </w:t>
      </w:r>
      <w:r>
        <w:lastRenderedPageBreak/>
        <w:t xml:space="preserve">indicates that at each beam passage, the maximum of the electric field is located between the </w:t>
      </w:r>
      <w:r w:rsidR="005F44BF">
        <w:t xml:space="preserve">individual </w:t>
      </w:r>
      <w:r>
        <w:t>modules</w:t>
      </w:r>
      <w:r w:rsidR="005F44BF">
        <w:t>,</w:t>
      </w:r>
      <w:r>
        <w:t xml:space="preserve"> and between the modules and the vacuum tank itself.</w:t>
      </w:r>
    </w:p>
    <w:p w14:paraId="0000001B" w14:textId="77777777" w:rsidR="005D2805" w:rsidRDefault="0048209D">
      <w:pPr>
        <w:spacing w:before="240" w:after="240"/>
        <w:rPr>
          <w:b/>
        </w:rPr>
      </w:pPr>
      <w:r>
        <w:rPr>
          <w:b/>
        </w:rPr>
        <w:t>Impedance mitigation</w:t>
      </w:r>
    </w:p>
    <w:p w14:paraId="0000001C" w14:textId="48276611" w:rsidR="005D2805" w:rsidRDefault="0048209D">
      <w:pPr>
        <w:spacing w:before="240" w:after="240"/>
      </w:pPr>
      <w:r>
        <w:t xml:space="preserve">Michela presents one possible solution for mitigating the impedance with the inclusion of transition pieces: copper rods/bars connecting the ground contacts (module-module, module-tank) that can </w:t>
      </w:r>
      <w:r w:rsidR="005F44BF">
        <w:t xml:space="preserve">guide </w:t>
      </w:r>
      <w:r>
        <w:t xml:space="preserve">the image currents. She points out that this solution was already implemented in the past in some other kicker magnets. Michela shows the results of the real longitudinal impedance. The inclusion of transition pieces leads to a significant improvement and suppression of the resonances in the low frequency range, where the beam spectrum is sitting. </w:t>
      </w:r>
    </w:p>
    <w:p w14:paraId="0000001D" w14:textId="77777777" w:rsidR="005D2805" w:rsidRDefault="0048209D">
      <w:pPr>
        <w:spacing w:before="240" w:after="240"/>
        <w:rPr>
          <w:b/>
        </w:rPr>
      </w:pPr>
      <w:r>
        <w:rPr>
          <w:b/>
        </w:rPr>
        <w:t>Conclusions</w:t>
      </w:r>
    </w:p>
    <w:p w14:paraId="0000001E" w14:textId="5056A45C" w:rsidR="005D2805" w:rsidRDefault="0048209D">
      <w:pPr>
        <w:spacing w:before="240" w:after="240"/>
      </w:pPr>
      <w:r>
        <w:t xml:space="preserve">Michela concludes that the 3D geometry can be considered benchmarked by the good agreement of measurements and simulations. She adds that the transitions pieces look beneficial for mitigating the low frequency resonances and that a convergence study, increasing the </w:t>
      </w:r>
      <w:proofErr w:type="spellStart"/>
      <w:r>
        <w:t>wakelength</w:t>
      </w:r>
      <w:proofErr w:type="spellEnd"/>
      <w:r>
        <w:t xml:space="preserve"> and/or the number of mesh cells, may be useful to better resolve low and high frequency peaks.</w:t>
      </w:r>
      <w:r>
        <w:br/>
        <w:t xml:space="preserve">Concluding, she mentions that the study will proceed with the analysis of the impedance of the KFA71, </w:t>
      </w:r>
      <w:r w:rsidR="000E0A02">
        <w:t xml:space="preserve">a </w:t>
      </w:r>
      <w:r>
        <w:t>9 modules magnet, which gives the major contribution to the overall PS longitudinal impedance amongst the kickers.</w:t>
      </w:r>
    </w:p>
    <w:p w14:paraId="0000001F" w14:textId="77777777" w:rsidR="005D2805" w:rsidRDefault="0048209D">
      <w:pPr>
        <w:spacing w:before="240" w:after="240"/>
        <w:rPr>
          <w:b/>
          <w:sz w:val="30"/>
          <w:szCs w:val="30"/>
        </w:rPr>
      </w:pPr>
      <w:r>
        <w:rPr>
          <w:b/>
          <w:sz w:val="30"/>
          <w:szCs w:val="30"/>
        </w:rPr>
        <w:t>Comments</w:t>
      </w:r>
    </w:p>
    <w:p w14:paraId="00000020" w14:textId="77777777" w:rsidR="005D2805" w:rsidRDefault="0048209D">
      <w:pPr>
        <w:spacing w:before="240" w:after="240"/>
      </w:pPr>
      <w:proofErr w:type="spellStart"/>
      <w:r>
        <w:rPr>
          <w:b/>
        </w:rPr>
        <w:t>M.Barnes</w:t>
      </w:r>
      <w:proofErr w:type="spellEnd"/>
      <w:r>
        <w:t xml:space="preserve"> asks how the transition pieces look like.</w:t>
      </w:r>
    </w:p>
    <w:p w14:paraId="00000021" w14:textId="77777777" w:rsidR="005D2805" w:rsidRDefault="0048209D">
      <w:pPr>
        <w:spacing w:before="240" w:after="240"/>
      </w:pPr>
      <w:r>
        <w:rPr>
          <w:b/>
        </w:rPr>
        <w:t>Michela</w:t>
      </w:r>
      <w:r>
        <w:t xml:space="preserve"> clarifies that she included three copper rods passing through the ground conductors and U-shaped bars going over the magnet aperture.</w:t>
      </w:r>
    </w:p>
    <w:p w14:paraId="00000022" w14:textId="2A836B8D" w:rsidR="005D2805" w:rsidRDefault="0048209D">
      <w:pPr>
        <w:spacing w:before="240" w:after="240"/>
      </w:pPr>
      <w:proofErr w:type="spellStart"/>
      <w:r>
        <w:rPr>
          <w:b/>
        </w:rPr>
        <w:t>M.Barnes</w:t>
      </w:r>
      <w:proofErr w:type="spellEnd"/>
      <w:r>
        <w:rPr>
          <w:b/>
        </w:rPr>
        <w:t xml:space="preserve"> </w:t>
      </w:r>
      <w:r>
        <w:t xml:space="preserve">asks whether she has tried to simulate the transition pieces as a flat piece connecting the </w:t>
      </w:r>
      <w:r w:rsidR="0090214D">
        <w:t xml:space="preserve">most outer </w:t>
      </w:r>
      <w:r>
        <w:t>ground plates of each module, because this would be an easier solution to implement.</w:t>
      </w:r>
    </w:p>
    <w:p w14:paraId="00000023" w14:textId="2F258EB0" w:rsidR="005D2805" w:rsidRDefault="0048209D">
      <w:pPr>
        <w:spacing w:before="240" w:after="240"/>
      </w:pPr>
      <w:r>
        <w:rPr>
          <w:b/>
        </w:rPr>
        <w:t>Michela</w:t>
      </w:r>
      <w:r>
        <w:t xml:space="preserve"> answers that she has not considered this solution and that she could try simulating it. However, she adds that the modules are flipped </w:t>
      </w:r>
      <w:r w:rsidR="0090214D">
        <w:t xml:space="preserve">with </w:t>
      </w:r>
      <w:r>
        <w:t>respect to the YZ plane and that it is probably not so easy to connect ground plates with flat pieces.</w:t>
      </w:r>
    </w:p>
    <w:p w14:paraId="00000024" w14:textId="77777777" w:rsidR="005D2805" w:rsidRDefault="0048209D">
      <w:pPr>
        <w:spacing w:before="240" w:after="240"/>
      </w:pPr>
      <w:r>
        <w:rPr>
          <w:b/>
        </w:rPr>
        <w:t>Christine</w:t>
      </w:r>
      <w:r>
        <w:t xml:space="preserve"> comments on this saying that indeed the connectors are alternating on each side and the modules are flipped.</w:t>
      </w:r>
    </w:p>
    <w:p w14:paraId="00000025" w14:textId="77777777" w:rsidR="005D2805" w:rsidRDefault="0048209D">
      <w:pPr>
        <w:spacing w:before="240" w:after="240"/>
      </w:pPr>
      <w:proofErr w:type="spellStart"/>
      <w:r>
        <w:rPr>
          <w:b/>
        </w:rPr>
        <w:t>M.Barnes</w:t>
      </w:r>
      <w:proofErr w:type="spellEnd"/>
      <w:r>
        <w:t xml:space="preserve">, looking at the geometry on slide 11, says that usually the connection can be made between the ground plates but in this geometry the ground plate opening is quite </w:t>
      </w:r>
      <w:proofErr w:type="gramStart"/>
      <w:r>
        <w:t>large</w:t>
      </w:r>
      <w:proofErr w:type="gramEnd"/>
      <w:r>
        <w:t xml:space="preserve"> and the edges are far away from the aperture. Therefore, it will be challenging to see what a good solution from a mechanical and impedance point of view can be.</w:t>
      </w:r>
    </w:p>
    <w:p w14:paraId="00000026" w14:textId="77777777" w:rsidR="005D2805" w:rsidRDefault="0048209D">
      <w:pPr>
        <w:spacing w:before="240" w:after="240"/>
      </w:pPr>
      <w:r>
        <w:rPr>
          <w:b/>
        </w:rPr>
        <w:t>Christine</w:t>
      </w:r>
      <w:r>
        <w:t xml:space="preserve"> concludes that indeed for the implementation they would need to speak with the equipment owner.</w:t>
      </w:r>
    </w:p>
    <w:p w14:paraId="00000027" w14:textId="51FF0CC0" w:rsidR="005D2805" w:rsidRDefault="0048209D">
      <w:pPr>
        <w:spacing w:before="240" w:after="240"/>
        <w:rPr>
          <w:b/>
        </w:rPr>
      </w:pPr>
      <w:r>
        <w:rPr>
          <w:b/>
        </w:rPr>
        <w:t xml:space="preserve">Michela, </w:t>
      </w:r>
      <w:proofErr w:type="gramStart"/>
      <w:r>
        <w:rPr>
          <w:b/>
        </w:rPr>
        <w:t>Christine</w:t>
      </w:r>
      <w:proofErr w:type="gramEnd"/>
      <w:r>
        <w:rPr>
          <w:b/>
        </w:rPr>
        <w:t xml:space="preserve"> and Mike will discuss about the implementation of the transition pieces with the equipment owner.</w:t>
      </w:r>
    </w:p>
    <w:p w14:paraId="00000028" w14:textId="77777777" w:rsidR="005D2805" w:rsidRDefault="0048209D">
      <w:pPr>
        <w:spacing w:before="240" w:after="240"/>
      </w:pPr>
      <w:r>
        <w:lastRenderedPageBreak/>
        <w:t xml:space="preserve"> </w:t>
      </w:r>
    </w:p>
    <w:p w14:paraId="00000029" w14:textId="0EC1BDBE" w:rsidR="005D2805" w:rsidRDefault="0048209D">
      <w:pPr>
        <w:spacing w:before="240" w:after="240"/>
      </w:pPr>
      <w:r>
        <w:rPr>
          <w:b/>
        </w:rPr>
        <w:t>Adnan,</w:t>
      </w:r>
      <w:r>
        <w:t xml:space="preserve"> referring to slide 9, asks if Michela has used both electric and magnetic probes. Also, he asks about the </w:t>
      </w:r>
      <w:r w:rsidR="00C15CAE">
        <w:t xml:space="preserve">shape </w:t>
      </w:r>
      <w:r>
        <w:t>of the double peak around 22 MHz, if it can be</w:t>
      </w:r>
      <w:r w:rsidR="00212B0D">
        <w:t xml:space="preserve"> that</w:t>
      </w:r>
      <w:r>
        <w:t xml:space="preserve"> the 35 MHz resonance</w:t>
      </w:r>
      <w:r w:rsidR="00212B0D">
        <w:t xml:space="preserve"> is</w:t>
      </w:r>
      <w:r>
        <w:t xml:space="preserve"> interfering there.</w:t>
      </w:r>
    </w:p>
    <w:p w14:paraId="0000002A" w14:textId="2ED49145" w:rsidR="005D2805" w:rsidRDefault="0048209D">
      <w:pPr>
        <w:spacing w:before="240" w:after="240"/>
      </w:pPr>
      <w:r>
        <w:rPr>
          <w:b/>
        </w:rPr>
        <w:t>Michela</w:t>
      </w:r>
      <w:r>
        <w:t xml:space="preserve"> replies that they used electric probes </w:t>
      </w:r>
      <w:r w:rsidR="00D536A0">
        <w:t xml:space="preserve">only, </w:t>
      </w:r>
      <w:r>
        <w:t xml:space="preserve">and the frequency span in the picture of the double peak around 22 MHz is </w:t>
      </w:r>
      <w:r w:rsidR="00D536A0">
        <w:t xml:space="preserve">too </w:t>
      </w:r>
      <w:r>
        <w:t xml:space="preserve">short </w:t>
      </w:r>
      <w:r w:rsidR="00D536A0">
        <w:t>and does not reach up</w:t>
      </w:r>
      <w:r>
        <w:t xml:space="preserve"> to 35 </w:t>
      </w:r>
      <w:proofErr w:type="spellStart"/>
      <w:r>
        <w:t>MHz.</w:t>
      </w:r>
      <w:proofErr w:type="spellEnd"/>
    </w:p>
    <w:p w14:paraId="0000002B" w14:textId="77777777" w:rsidR="005D2805" w:rsidRDefault="0048209D">
      <w:pPr>
        <w:spacing w:before="240" w:after="240"/>
      </w:pPr>
      <w:r>
        <w:rPr>
          <w:b/>
        </w:rPr>
        <w:t>Adnan</w:t>
      </w:r>
      <w:r>
        <w:t xml:space="preserve"> asks to clarify why two different resistors, 220 Ω and 15 Ω, are used and what are they used for.</w:t>
      </w:r>
    </w:p>
    <w:p w14:paraId="0000002C" w14:textId="77777777" w:rsidR="005D2805" w:rsidRDefault="0048209D">
      <w:pPr>
        <w:spacing w:before="240" w:after="240"/>
      </w:pPr>
      <w:r>
        <w:rPr>
          <w:b/>
        </w:rPr>
        <w:t>Michela</w:t>
      </w:r>
      <w:r>
        <w:t xml:space="preserve"> clarifies that the 220 Ω resistor is used for matching the line for the stretched wire measurements and the 15 Ω one is instead the termination of the output connector of each module, in accordance with the magnet layout (slide 3).</w:t>
      </w:r>
    </w:p>
    <w:p w14:paraId="0000002D" w14:textId="77777777" w:rsidR="005D2805" w:rsidRDefault="0048209D">
      <w:pPr>
        <w:spacing w:before="240" w:after="240"/>
      </w:pPr>
      <w:r>
        <w:rPr>
          <w:b/>
        </w:rPr>
        <w:t>Fritz</w:t>
      </w:r>
      <w:r>
        <w:t xml:space="preserve"> proposes to perform, if feasible, an 8 ports measurement because it can give lots of additional information and </w:t>
      </w:r>
      <w:r>
        <w:rPr>
          <w:b/>
        </w:rPr>
        <w:t>Christine</w:t>
      </w:r>
      <w:r>
        <w:t xml:space="preserve"> comments that it can be interesting to perform it, but it is not needed in our case because the measurements are already perfectly matching with the simulations.</w:t>
      </w:r>
    </w:p>
    <w:p w14:paraId="0000002E" w14:textId="42D7CB2F" w:rsidR="005D2805" w:rsidRDefault="0048209D">
      <w:pPr>
        <w:spacing w:before="240" w:after="240"/>
      </w:pPr>
      <w:r>
        <w:rPr>
          <w:b/>
        </w:rPr>
        <w:t>Fritz</w:t>
      </w:r>
      <w:r>
        <w:t xml:space="preserve"> motivates his observation saying that it was used in the past to take a reference value in case there was the suspicion that something was wrong (</w:t>
      </w:r>
      <w:r w:rsidR="001A1EAD">
        <w:t>e.g.,</w:t>
      </w:r>
      <w:r>
        <w:t xml:space="preserve"> broken ferrite pieces in a component already installed in the machine). When the component is already installed in the machine, in fact, there is no possibility to insert the wire, therefore, measurements through the ports in-situ can be performed and compared with the reference ones.</w:t>
      </w:r>
    </w:p>
    <w:p w14:paraId="0000002F" w14:textId="6B9A996C" w:rsidR="005D2805" w:rsidRDefault="0048209D">
      <w:pPr>
        <w:spacing w:before="240" w:after="240"/>
      </w:pPr>
      <w:r>
        <w:rPr>
          <w:b/>
        </w:rPr>
        <w:t>Christine</w:t>
      </w:r>
      <w:r>
        <w:t xml:space="preserve"> says that this can be </w:t>
      </w:r>
      <w:r w:rsidR="005E0D61">
        <w:t>a possibility</w:t>
      </w:r>
      <w:r>
        <w:t xml:space="preserve"> for when the transition pieces will be implemented and a measurement through the ports can be performed.</w:t>
      </w:r>
    </w:p>
    <w:p w14:paraId="00000030" w14:textId="77777777" w:rsidR="005D2805" w:rsidRDefault="0048209D">
      <w:pPr>
        <w:spacing w:before="240" w:after="240"/>
      </w:pPr>
      <w:r>
        <w:rPr>
          <w:b/>
        </w:rPr>
        <w:t>Benoit</w:t>
      </w:r>
      <w:r>
        <w:t xml:space="preserve"> asks if the resonances are coming mainly from the modules or from the inclusion of the vacuum tank.</w:t>
      </w:r>
    </w:p>
    <w:p w14:paraId="00000031" w14:textId="77777777" w:rsidR="005D2805" w:rsidRDefault="0048209D">
      <w:pPr>
        <w:spacing w:before="240" w:after="240"/>
      </w:pPr>
      <w:r>
        <w:rPr>
          <w:b/>
        </w:rPr>
        <w:t>Michela</w:t>
      </w:r>
      <w:r>
        <w:t xml:space="preserve"> answers that, according with the old simulations from Branko, it seems that the resonances are coming when including the vacuum tank, so we cannot have much information with measuring just one module, because we would need the tank for a single unit.</w:t>
      </w:r>
    </w:p>
    <w:p w14:paraId="00000032" w14:textId="77777777" w:rsidR="005D2805" w:rsidRDefault="0048209D">
      <w:pPr>
        <w:spacing w:before="240" w:after="240"/>
      </w:pPr>
      <w:r>
        <w:rPr>
          <w:b/>
        </w:rPr>
        <w:t>Benoit</w:t>
      </w:r>
      <w:r>
        <w:t xml:space="preserve"> comments on this saying that therefore the simulation on the KFA71 the complete geometry is needed, including the long tank as well. He also asks about the simulation time for the KFA79.</w:t>
      </w:r>
    </w:p>
    <w:p w14:paraId="00000033" w14:textId="77777777" w:rsidR="005D2805" w:rsidRDefault="0048209D">
      <w:pPr>
        <w:spacing w:before="240" w:after="240"/>
      </w:pPr>
      <w:r>
        <w:rPr>
          <w:b/>
        </w:rPr>
        <w:t>Michela</w:t>
      </w:r>
      <w:r>
        <w:t xml:space="preserve"> replies that, with the </w:t>
      </w:r>
      <w:proofErr w:type="spellStart"/>
      <w:r>
        <w:t>wakefield</w:t>
      </w:r>
      <w:proofErr w:type="spellEnd"/>
      <w:r>
        <w:t xml:space="preserve"> solver, considering 600 m </w:t>
      </w:r>
      <w:proofErr w:type="spellStart"/>
      <w:r>
        <w:t>wakelength</w:t>
      </w:r>
      <w:proofErr w:type="spellEnd"/>
      <w:r>
        <w:t xml:space="preserve"> and 20 million mesh-cells, it takes around 5 days and </w:t>
      </w:r>
      <w:r>
        <w:rPr>
          <w:b/>
        </w:rPr>
        <w:t>Benoit</w:t>
      </w:r>
      <w:r>
        <w:t xml:space="preserve"> comments that therefore for the KFA71 the simulation could be beyond the limit.  </w:t>
      </w:r>
    </w:p>
    <w:p w14:paraId="00000034" w14:textId="77777777" w:rsidR="005D2805" w:rsidRDefault="0048209D">
      <w:pPr>
        <w:spacing w:before="240" w:after="240"/>
      </w:pPr>
      <w:r>
        <w:rPr>
          <w:b/>
        </w:rPr>
        <w:t>Benoit</w:t>
      </w:r>
      <w:r>
        <w:t xml:space="preserve"> suggests computing the transverse impedance as well. </w:t>
      </w:r>
      <w:r>
        <w:rPr>
          <w:b/>
        </w:rPr>
        <w:t>Michela</w:t>
      </w:r>
      <w:r>
        <w:t xml:space="preserve"> should contact Sebastien Joly to arrange this. </w:t>
      </w:r>
      <w:r>
        <w:rPr>
          <w:b/>
        </w:rPr>
        <w:t>Christine</w:t>
      </w:r>
      <w:r>
        <w:t xml:space="preserve"> agrees on this.</w:t>
      </w:r>
    </w:p>
    <w:p w14:paraId="00000035" w14:textId="77777777" w:rsidR="005D2805" w:rsidRDefault="0048209D">
      <w:pPr>
        <w:spacing w:before="240" w:after="240"/>
      </w:pPr>
      <w:r>
        <w:rPr>
          <w:b/>
        </w:rPr>
        <w:t>Christine</w:t>
      </w:r>
      <w:r>
        <w:t xml:space="preserve"> adds a comment about KFA79 and KFA71. She says that it was important to benchmark the simulation for the KFA79 and to find a solution to mitigate the impedance contribution for it. The analysis of KFA79 opens a way to the KFA71 beam mitigation study </w:t>
      </w:r>
      <w:r>
        <w:lastRenderedPageBreak/>
        <w:t>that would be of most interest since the KFA71 gives the major contribution to the overall PS longitudinal impedance amongst the kickers.</w:t>
      </w:r>
    </w:p>
    <w:p w14:paraId="00000036" w14:textId="77777777" w:rsidR="005D2805" w:rsidRDefault="0048209D">
      <w:pPr>
        <w:spacing w:before="240" w:after="240"/>
      </w:pPr>
      <w:r>
        <w:rPr>
          <w:b/>
        </w:rPr>
        <w:t>Adnan</w:t>
      </w:r>
      <w:r>
        <w:t xml:space="preserve"> raises a point regarding the low frequency resonances. He asks if it is correct to attribute the resonances just to the insertion of the vacuum tank and whether it is not instead related to the distance between the modules.</w:t>
      </w:r>
    </w:p>
    <w:p w14:paraId="00000037" w14:textId="77777777" w:rsidR="005D2805" w:rsidRDefault="0048209D">
      <w:pPr>
        <w:spacing w:before="240" w:after="240"/>
      </w:pPr>
      <w:r>
        <w:rPr>
          <w:b/>
        </w:rPr>
        <w:t>Michela</w:t>
      </w:r>
      <w:r>
        <w:t xml:space="preserve"> agrees on his </w:t>
      </w:r>
      <w:proofErr w:type="gramStart"/>
      <w:r>
        <w:t>comment</w:t>
      </w:r>
      <w:proofErr w:type="gramEnd"/>
      <w:r>
        <w:t xml:space="preserve"> and she says that indeed the distance between the modules matters. The resonances are generated by the ferrite elements at a certain </w:t>
      </w:r>
      <w:proofErr w:type="gramStart"/>
      <w:r>
        <w:t>wavelength</w:t>
      </w:r>
      <w:proofErr w:type="gramEnd"/>
      <w:r>
        <w:t xml:space="preserve"> and this is linked to the distance between the modules as well.</w:t>
      </w:r>
    </w:p>
    <w:p w14:paraId="00000038" w14:textId="77777777" w:rsidR="005D2805" w:rsidRDefault="0048209D">
      <w:pPr>
        <w:spacing w:before="240" w:after="240"/>
      </w:pPr>
      <w:r>
        <w:rPr>
          <w:b/>
        </w:rPr>
        <w:t>Christine</w:t>
      </w:r>
      <w:r>
        <w:t xml:space="preserve"> asks a question about the plot of comparison between wire measurements and </w:t>
      </w:r>
      <w:proofErr w:type="spellStart"/>
      <w:r>
        <w:t>wakefield</w:t>
      </w:r>
      <w:proofErr w:type="spellEnd"/>
      <w:r>
        <w:t xml:space="preserve"> simulations (slide 10). She observes that the bump given by the broadband behaviour is higher in the simulated impedance than the measured one and she asks whether Michela has investigated this.</w:t>
      </w:r>
    </w:p>
    <w:p w14:paraId="00000039" w14:textId="77777777" w:rsidR="005D2805" w:rsidRDefault="0048209D">
      <w:pPr>
        <w:spacing w:before="240" w:after="240"/>
      </w:pPr>
      <w:r>
        <w:rPr>
          <w:b/>
        </w:rPr>
        <w:t>Michela</w:t>
      </w:r>
      <w:r>
        <w:t xml:space="preserve"> answers that she has not investigated further about it, but she thinks it may come from the reference S21 signal used to normalize the measured S21 in the Log Formula. She is using, in fact, an ideal coaxial reference S21 that doesn’t include a normalization in amplitude.</w:t>
      </w:r>
    </w:p>
    <w:p w14:paraId="0000003A" w14:textId="77777777" w:rsidR="005D2805" w:rsidRDefault="0048209D">
      <w:pPr>
        <w:spacing w:before="240" w:after="240"/>
      </w:pPr>
      <w:r>
        <w:rPr>
          <w:b/>
        </w:rPr>
        <w:t>Christine</w:t>
      </w:r>
      <w:r>
        <w:t xml:space="preserve"> concludes that they can </w:t>
      </w:r>
      <w:proofErr w:type="gramStart"/>
      <w:r>
        <w:t>look into</w:t>
      </w:r>
      <w:proofErr w:type="gramEnd"/>
      <w:r>
        <w:t xml:space="preserve"> this together.</w:t>
      </w:r>
    </w:p>
    <w:p w14:paraId="0000003B" w14:textId="24FCABCA" w:rsidR="005D2805" w:rsidRDefault="0048209D">
      <w:pPr>
        <w:spacing w:before="240" w:after="240"/>
        <w:rPr>
          <w:b/>
          <w:color w:val="FF0000"/>
        </w:rPr>
      </w:pPr>
      <w:r>
        <w:rPr>
          <w:b/>
          <w:color w:val="FF0000"/>
        </w:rPr>
        <w:t>ACTION: discussion about the implementation of the transition pieces in the KFA79 with the equipment owner.</w:t>
      </w:r>
    </w:p>
    <w:p w14:paraId="0000003C" w14:textId="0C571910" w:rsidR="005D2805" w:rsidRDefault="0048209D">
      <w:pPr>
        <w:spacing w:before="240" w:after="240"/>
        <w:rPr>
          <w:b/>
          <w:color w:val="FF0000"/>
        </w:rPr>
      </w:pPr>
      <w:r>
        <w:rPr>
          <w:b/>
          <w:color w:val="FF0000"/>
        </w:rPr>
        <w:t>ACTION: Simulation of the transverse impedance for KFA79.</w:t>
      </w:r>
    </w:p>
    <w:p w14:paraId="44F54658" w14:textId="541EDADB" w:rsidR="00C30DD6" w:rsidRDefault="00C30DD6">
      <w:pPr>
        <w:spacing w:before="240" w:after="240"/>
        <w:rPr>
          <w:b/>
          <w:color w:val="FF0000"/>
        </w:rPr>
      </w:pPr>
      <w:r>
        <w:rPr>
          <w:b/>
          <w:color w:val="FF0000"/>
        </w:rPr>
        <w:t>ACTION: check the impact on longitudinal and transverse stability of KFA79 and KFA71</w:t>
      </w:r>
    </w:p>
    <w:p w14:paraId="0000003D" w14:textId="77777777" w:rsidR="005D2805" w:rsidRDefault="0048209D">
      <w:pPr>
        <w:spacing w:before="240" w:after="240"/>
        <w:rPr>
          <w:rFonts w:ascii="Arial" w:eastAsia="Arial" w:hAnsi="Arial" w:cs="Arial"/>
          <w:sz w:val="20"/>
          <w:szCs w:val="20"/>
        </w:rPr>
      </w:pPr>
      <w:r>
        <w:t xml:space="preserve"> </w:t>
      </w:r>
    </w:p>
    <w:p w14:paraId="0000003E" w14:textId="77777777" w:rsidR="005D2805" w:rsidRDefault="0048209D">
      <w:pPr>
        <w:pStyle w:val="Heading1"/>
        <w:keepNext w:val="0"/>
        <w:keepLines w:val="0"/>
        <w:spacing w:after="80"/>
      </w:pPr>
      <w:bookmarkStart w:id="3" w:name="_zfs1u2s1ubsv" w:colFirst="0" w:colLast="0"/>
      <w:bookmarkEnd w:id="3"/>
      <w:r>
        <w:t xml:space="preserve">Crab cavities studies (Lorenzo </w:t>
      </w:r>
      <w:proofErr w:type="spellStart"/>
      <w:r>
        <w:t>Giacomel</w:t>
      </w:r>
      <w:proofErr w:type="spellEnd"/>
      <w:r>
        <w:t>)</w:t>
      </w:r>
    </w:p>
    <w:p w14:paraId="0000003F" w14:textId="77777777" w:rsidR="005D2805" w:rsidRDefault="0048209D">
      <w:r>
        <w:rPr>
          <w:b/>
        </w:rPr>
        <w:t xml:space="preserve">Lorenzo </w:t>
      </w:r>
      <w:r>
        <w:t>introduces the topic by explaining the primary contributions to the impedance of the Crab Cavities:</w:t>
      </w:r>
    </w:p>
    <w:p w14:paraId="00000040" w14:textId="77777777" w:rsidR="005D2805" w:rsidRDefault="0048209D">
      <w:r>
        <w:t>-         High-order-modes (already been extensively studied by other contributors)</w:t>
      </w:r>
    </w:p>
    <w:p w14:paraId="00000041" w14:textId="77777777" w:rsidR="005D2805" w:rsidRDefault="0048209D">
      <w:r>
        <w:t>-         Fundamental mode (the focus of the talk)</w:t>
      </w:r>
    </w:p>
    <w:p w14:paraId="00000042" w14:textId="77777777" w:rsidR="005D2805" w:rsidRDefault="0048209D">
      <w:r>
        <w:t>He divides the talk into three sections:</w:t>
      </w:r>
    </w:p>
    <w:p w14:paraId="00000043" w14:textId="77777777" w:rsidR="005D2805" w:rsidRDefault="005D2805"/>
    <w:p w14:paraId="00000044" w14:textId="77777777" w:rsidR="005D2805" w:rsidRDefault="0048209D">
      <w:pPr>
        <w:rPr>
          <w:b/>
          <w:u w:val="single"/>
        </w:rPr>
      </w:pPr>
      <w:r>
        <w:rPr>
          <w:b/>
          <w:u w:val="single"/>
        </w:rPr>
        <w:t>Fundamental Mode</w:t>
      </w:r>
    </w:p>
    <w:p w14:paraId="00000045" w14:textId="77777777" w:rsidR="005D2805" w:rsidRDefault="0048209D">
      <w:r>
        <w:rPr>
          <w:b/>
        </w:rPr>
        <w:t xml:space="preserve">Lorenzo </w:t>
      </w:r>
      <w:r>
        <w:t xml:space="preserve">explains that the fundamental mode of the crab cavity, as any other fundamental mode, contributes to the impedance due to its very high shunt impedance and quality factor. The impedance is estimated over the transverse resonator impedance formula given on slide 2, leading to a high narrow band impedance. In the next step, the magnitude of the impedance peak with and without an RF feedback system can be seen on slide 3, showing that the impedance magnitude is reduced strongly at resonance. However, even with the feedback system, </w:t>
      </w:r>
      <w:proofErr w:type="gramStart"/>
      <w:r>
        <w:t>taking a look</w:t>
      </w:r>
      <w:proofErr w:type="gramEnd"/>
      <w:r>
        <w:t xml:space="preserve"> at the real and imaginary parts, </w:t>
      </w:r>
      <w:r>
        <w:rPr>
          <w:b/>
        </w:rPr>
        <w:t xml:space="preserve">Lorenzo </w:t>
      </w:r>
      <w:r>
        <w:t xml:space="preserve">explains that instead of having a narrow impedance peak without the RF feedback system, now, with the RF feedback </w:t>
      </w:r>
      <w:r>
        <w:lastRenderedPageBreak/>
        <w:t xml:space="preserve">system, the real part of the impedance is higher for a broader range of frequencies, and thus able to touch a high number of </w:t>
      </w:r>
      <w:proofErr w:type="spellStart"/>
      <w:r>
        <w:t>betatron</w:t>
      </w:r>
      <w:proofErr w:type="spellEnd"/>
      <w:r>
        <w:t xml:space="preserve"> lines.</w:t>
      </w:r>
    </w:p>
    <w:p w14:paraId="00000046" w14:textId="77777777" w:rsidR="005D2805" w:rsidRDefault="005D2805"/>
    <w:p w14:paraId="00000047" w14:textId="77777777" w:rsidR="005D2805" w:rsidRDefault="0048209D">
      <w:pPr>
        <w:rPr>
          <w:b/>
          <w:u w:val="single"/>
        </w:rPr>
      </w:pPr>
      <w:r>
        <w:rPr>
          <w:b/>
          <w:u w:val="single"/>
        </w:rPr>
        <w:t>Impact on the HL-LHC Stability</w:t>
      </w:r>
    </w:p>
    <w:p w14:paraId="00000048" w14:textId="77777777" w:rsidR="005D2805" w:rsidRDefault="0048209D">
      <w:r>
        <w:t xml:space="preserve">In the context of the HL-LHC, two configurations for estimating the instability have been considered. First are the flat top optics with a β*=100cm, and the second is collision optics with a β*=20cm. In both configurations, a substantial contribution at 400 MHz is caused by the crab cavity's fundamental mode. This contribution is even higher than the high-order modes. </w:t>
      </w:r>
      <w:r>
        <w:rPr>
          <w:b/>
        </w:rPr>
        <w:t xml:space="preserve">Lorenzo </w:t>
      </w:r>
      <w:r>
        <w:t>explains that octupole thresholds have been computed for both configurations to understand the impedance's impact on the machine. The octupole threshold is the minimum current that must be put in the octupole to stabilise the impedance contribution. A comparison of the thresholds is given at flat top and collision, corresponding to the values between only having crab cavities, crab cavities with a feedback system, and without having crab cavities. For flat top, the stability thresholds without feedback are in the region of 10^5A, which is entirely beyond reachability. Although the feedback lowers the thresholds to around 500A, they are still too high. For collision, the thresholds are even greater in the cavities because of the higher β, but a strong head-on tune spread may be sufficient to steady the beam; thus, less worrying than in the flat top case. This should be checked with beam-beam simulations.</w:t>
      </w:r>
    </w:p>
    <w:p w14:paraId="00000049" w14:textId="77777777" w:rsidR="005D2805" w:rsidRDefault="005D2805"/>
    <w:p w14:paraId="0000004A" w14:textId="77777777" w:rsidR="005D2805" w:rsidRDefault="0048209D">
      <w:pPr>
        <w:rPr>
          <w:b/>
          <w:u w:val="single"/>
        </w:rPr>
      </w:pPr>
      <w:r>
        <w:rPr>
          <w:b/>
          <w:u w:val="single"/>
        </w:rPr>
        <w:t>Mitigation Strategies</w:t>
      </w:r>
    </w:p>
    <w:p w14:paraId="0000004B" w14:textId="77777777" w:rsidR="005D2805" w:rsidRDefault="0048209D">
      <w:r>
        <w:t xml:space="preserve">In this section, </w:t>
      </w:r>
      <w:r>
        <w:rPr>
          <w:b/>
        </w:rPr>
        <w:t xml:space="preserve">Lorenzo </w:t>
      </w:r>
      <w:r>
        <w:t xml:space="preserve">explains what could be done to reduce the impedance given by the fundamental mode. According to </w:t>
      </w:r>
      <w:proofErr w:type="spellStart"/>
      <w:r>
        <w:t>Sacherer's</w:t>
      </w:r>
      <w:proofErr w:type="spellEnd"/>
      <w:r>
        <w:t xml:space="preserve"> theory, the impedance is only sampled by discrete frequencies, as given by the formula on slide 8. Thus, to reduce the impedance growth rate, one </w:t>
      </w:r>
      <w:proofErr w:type="gramStart"/>
      <w:r>
        <w:t>has to</w:t>
      </w:r>
      <w:proofErr w:type="gramEnd"/>
      <w:r>
        <w:t xml:space="preserve"> reduce the impedance at these discrete frequencies. In other words, he states that we must lower the impedance at the </w:t>
      </w:r>
      <w:proofErr w:type="spellStart"/>
      <w:r>
        <w:t>betatron</w:t>
      </w:r>
      <w:proofErr w:type="spellEnd"/>
      <w:r>
        <w:t xml:space="preserve"> sidebands surrounding the impedance peak if we want to reduce the growing rate of instability.</w:t>
      </w:r>
    </w:p>
    <w:p w14:paraId="0000004C" w14:textId="505E52DC" w:rsidR="005D2805" w:rsidRDefault="0048209D">
      <w:r>
        <w:t xml:space="preserve">One possible strategy for the flat-top optics is by detuning the crab cavities (idling cavities). The reduced octupole threshold as a function of detuning </w:t>
      </w:r>
      <w:r w:rsidR="007A6FE3">
        <w:t xml:space="preserve">the cavities </w:t>
      </w:r>
      <w:r w:rsidR="00EC0E7B">
        <w:t xml:space="preserve">by a few kHz, </w:t>
      </w:r>
      <w:r>
        <w:t xml:space="preserve">when </w:t>
      </w:r>
      <w:proofErr w:type="gramStart"/>
      <w:r>
        <w:t>additionally</w:t>
      </w:r>
      <w:proofErr w:type="gramEnd"/>
      <w:r>
        <w:t xml:space="preserve"> the feedback system is not included is shown on slide 9.  The figure shows that a reduced threshold from 10^5A down to 10^3A is possible, though it still seems too high</w:t>
      </w:r>
      <w:r w:rsidR="00FF5513">
        <w:t>, even with the feedback on.</w:t>
      </w:r>
    </w:p>
    <w:p w14:paraId="0000004D" w14:textId="77777777" w:rsidR="005D2805" w:rsidRDefault="0048209D">
      <w:r>
        <w:t xml:space="preserve">The second strategy under investigation </w:t>
      </w:r>
      <w:proofErr w:type="gramStart"/>
      <w:r>
        <w:t>at the moment</w:t>
      </w:r>
      <w:proofErr w:type="gramEnd"/>
      <w:r>
        <w:t xml:space="preserve"> might be feasible for both optics, including the cavities and RF feedback on. In this scenario, the main idea is to modify the RF feedback system by including a </w:t>
      </w:r>
      <w:proofErr w:type="spellStart"/>
      <w:r>
        <w:t>betatron</w:t>
      </w:r>
      <w:proofErr w:type="spellEnd"/>
      <w:r>
        <w:t xml:space="preserve"> comb as was studied for PEPII, </w:t>
      </w:r>
      <w:proofErr w:type="gramStart"/>
      <w:r>
        <w:t>and also</w:t>
      </w:r>
      <w:proofErr w:type="gramEnd"/>
      <w:r>
        <w:t xml:space="preserve"> consider the transverse tune that was not studied for PEPII.</w:t>
      </w:r>
    </w:p>
    <w:p w14:paraId="0000004E" w14:textId="77777777" w:rsidR="005D2805" w:rsidRDefault="005D2805"/>
    <w:p w14:paraId="0000004F" w14:textId="77777777" w:rsidR="005D2805" w:rsidRDefault="0048209D">
      <w:pPr>
        <w:rPr>
          <w:b/>
        </w:rPr>
      </w:pPr>
      <w:r>
        <w:rPr>
          <w:b/>
        </w:rPr>
        <w:t>Conclusion and Further Work</w:t>
      </w:r>
    </w:p>
    <w:p w14:paraId="00000050" w14:textId="77777777" w:rsidR="005D2805" w:rsidRDefault="0048209D">
      <w:r>
        <w:t xml:space="preserve">It turns out that the Crab Cavities fundamental mode's impedance is crucial for beam stability, particularly at flat-top, where octupole currents are needed but are out of our reach. Future studies should recognise how detuning the cavities can reduce instabilities when the RF feedback is off and utilise a </w:t>
      </w:r>
      <w:proofErr w:type="spellStart"/>
      <w:r>
        <w:t>betatron</w:t>
      </w:r>
      <w:proofErr w:type="spellEnd"/>
      <w:r>
        <w:t xml:space="preserve"> comb filter to try and lower the effective impedance.</w:t>
      </w:r>
    </w:p>
    <w:p w14:paraId="00000051" w14:textId="77777777" w:rsidR="005D2805" w:rsidRDefault="005D2805"/>
    <w:p w14:paraId="00000052" w14:textId="77777777" w:rsidR="005D2805" w:rsidRDefault="0048209D">
      <w:pPr>
        <w:rPr>
          <w:b/>
          <w:sz w:val="30"/>
          <w:szCs w:val="30"/>
        </w:rPr>
      </w:pPr>
      <w:r>
        <w:rPr>
          <w:b/>
          <w:sz w:val="30"/>
          <w:szCs w:val="30"/>
        </w:rPr>
        <w:t>Comments</w:t>
      </w:r>
    </w:p>
    <w:p w14:paraId="00000053" w14:textId="3A9FD079" w:rsidR="005D2805" w:rsidRDefault="0048209D">
      <w:r>
        <w:t xml:space="preserve">-         </w:t>
      </w:r>
      <w:r>
        <w:rPr>
          <w:b/>
        </w:rPr>
        <w:t xml:space="preserve">Benoit </w:t>
      </w:r>
      <w:proofErr w:type="gramStart"/>
      <w:r>
        <w:t>refers back</w:t>
      </w:r>
      <w:proofErr w:type="gramEnd"/>
      <w:r>
        <w:t xml:space="preserve"> to </w:t>
      </w:r>
      <w:proofErr w:type="spellStart"/>
      <w:r>
        <w:t>Sachere</w:t>
      </w:r>
      <w:r w:rsidR="00EA005E">
        <w:t>r’</w:t>
      </w:r>
      <w:r>
        <w:t>s</w:t>
      </w:r>
      <w:proofErr w:type="spellEnd"/>
      <w:r>
        <w:t xml:space="preserve"> formula, which, as he states, depends on the fractional part of the tune. He asks what would happen if the tune </w:t>
      </w:r>
      <w:proofErr w:type="gramStart"/>
      <w:r>
        <w:t>drifts</w:t>
      </w:r>
      <w:proofErr w:type="gramEnd"/>
      <w:r>
        <w:t xml:space="preserve">. </w:t>
      </w:r>
      <w:r>
        <w:rPr>
          <w:b/>
        </w:rPr>
        <w:t xml:space="preserve">Nicolas </w:t>
      </w:r>
      <w:r>
        <w:t xml:space="preserve">answers that there is a limit on the possible gain (comb filter) and resulting reduction. The narrower the series of notches get, the larger the probability of running into instability with a slight drift of tune. Therefore, by using the existing operational values of the tune jitter, one might be able to design a comb filter which will counteract the expected tune jitter, which most probably will </w:t>
      </w:r>
      <w:r>
        <w:lastRenderedPageBreak/>
        <w:t xml:space="preserve">define the limit of the gain. </w:t>
      </w:r>
      <w:r>
        <w:rPr>
          <w:b/>
        </w:rPr>
        <w:t xml:space="preserve">Benoit </w:t>
      </w:r>
      <w:r>
        <w:t xml:space="preserve">is concerned about the small line spacing of 11 kHz and that it is not easy to understand well in advance where the valley will be; outside of it, one runs into instability. </w:t>
      </w:r>
      <w:r>
        <w:rPr>
          <w:b/>
        </w:rPr>
        <w:t xml:space="preserve">Nicolas </w:t>
      </w:r>
      <w:r>
        <w:t xml:space="preserve">replies that a tune measurement of certain accuracy is necessary because then one can either adjust the tune or the comb filter.  </w:t>
      </w:r>
    </w:p>
    <w:p w14:paraId="00000054" w14:textId="147B0805" w:rsidR="005D2805" w:rsidRDefault="0048209D">
      <w:r>
        <w:t xml:space="preserve">-         </w:t>
      </w:r>
      <w:r>
        <w:rPr>
          <w:b/>
        </w:rPr>
        <w:t xml:space="preserve">Benoit </w:t>
      </w:r>
      <w:r>
        <w:t xml:space="preserve">asks if the stability studies were done with the actual filling schemes. </w:t>
      </w:r>
      <w:r>
        <w:rPr>
          <w:b/>
        </w:rPr>
        <w:t xml:space="preserve">Lorenzo </w:t>
      </w:r>
      <w:r>
        <w:t xml:space="preserve">answers that they have been performed with Delphi, and the machine is being wholly filled as it is not easy to include proper filling schemes with Delphi. </w:t>
      </w:r>
      <w:r>
        <w:rPr>
          <w:b/>
        </w:rPr>
        <w:t xml:space="preserve">Benoit </w:t>
      </w:r>
      <w:r>
        <w:t xml:space="preserve">mentions that in this case, the study is conservative. </w:t>
      </w:r>
      <w:r>
        <w:rPr>
          <w:b/>
        </w:rPr>
        <w:t xml:space="preserve">Nicolas </w:t>
      </w:r>
      <w:r>
        <w:t xml:space="preserve">confirms. </w:t>
      </w:r>
      <w:r>
        <w:rPr>
          <w:b/>
        </w:rPr>
        <w:t xml:space="preserve">Benoit </w:t>
      </w:r>
      <w:r>
        <w:t xml:space="preserve">suggests using other techniques like </w:t>
      </w:r>
      <w:proofErr w:type="spellStart"/>
      <w:r w:rsidR="007D5D1A">
        <w:t>py</w:t>
      </w:r>
      <w:r>
        <w:t>head</w:t>
      </w:r>
      <w:proofErr w:type="spellEnd"/>
      <w:r>
        <w:t xml:space="preserve">-tail, etc. </w:t>
      </w:r>
      <w:r>
        <w:rPr>
          <w:b/>
        </w:rPr>
        <w:t xml:space="preserve">Lorenzo </w:t>
      </w:r>
      <w:r>
        <w:t>explains that in this case, the entire study gets to another dimension of work, and therefore Nicolas thinks the best idea is to find a working solution before beginning such a large study.</w:t>
      </w:r>
    </w:p>
    <w:p w14:paraId="00000055" w14:textId="3195C336" w:rsidR="005D2805" w:rsidRDefault="0048209D">
      <w:r>
        <w:t xml:space="preserve">-         </w:t>
      </w:r>
      <w:r>
        <w:rPr>
          <w:b/>
        </w:rPr>
        <w:t xml:space="preserve">Benoit </w:t>
      </w:r>
      <w:r>
        <w:t xml:space="preserve">tells us about the upcoming MDs for the SPS, and he is asking if </w:t>
      </w:r>
      <w:r w:rsidR="00BC7618">
        <w:t>simulations predict that the SPS beam would</w:t>
      </w:r>
      <w:r>
        <w:t xml:space="preserve"> be stable or unstable</w:t>
      </w:r>
      <w:r w:rsidR="00BC7618">
        <w:t xml:space="preserve"> in presence of crab cavities (with and without feedback)</w:t>
      </w:r>
      <w:r>
        <w:t xml:space="preserve">. </w:t>
      </w:r>
      <w:r>
        <w:rPr>
          <w:b/>
        </w:rPr>
        <w:t xml:space="preserve">Lorenzo </w:t>
      </w:r>
      <w:r>
        <w:t xml:space="preserve">answers that this is not known yet but is under study with Delphi. </w:t>
      </w:r>
    </w:p>
    <w:p w14:paraId="00000056" w14:textId="596ECA2E" w:rsidR="005D2805" w:rsidRDefault="0048209D">
      <w:r>
        <w:t xml:space="preserve">-         </w:t>
      </w:r>
      <w:r>
        <w:rPr>
          <w:b/>
        </w:rPr>
        <w:t xml:space="preserve">Benoit </w:t>
      </w:r>
      <w:r>
        <w:t xml:space="preserve">asks Rama directly what the possibilities are for the measurements in September in the SPS. Is it possible to test with and without feedback? </w:t>
      </w:r>
      <w:r>
        <w:rPr>
          <w:b/>
        </w:rPr>
        <w:t xml:space="preserve">Rama </w:t>
      </w:r>
      <w:r>
        <w:t xml:space="preserve">replies that the idea is to simulate first the case of the </w:t>
      </w:r>
      <w:proofErr w:type="gramStart"/>
      <w:r>
        <w:t>SPS</w:t>
      </w:r>
      <w:proofErr w:type="gramEnd"/>
      <w:r>
        <w:t xml:space="preserve"> and he would like to understand better if the issue is more related with the injection optics in the LHC or rather just a flat top/collision optics issue. </w:t>
      </w:r>
      <w:r>
        <w:rPr>
          <w:b/>
        </w:rPr>
        <w:t xml:space="preserve">Lorenzo </w:t>
      </w:r>
      <w:r>
        <w:t xml:space="preserve">replies that the injection optics case has not been tested and therefore </w:t>
      </w:r>
      <w:r w:rsidR="00374044">
        <w:t xml:space="preserve">he </w:t>
      </w:r>
      <w:r>
        <w:t>cannot answer the question</w:t>
      </w:r>
      <w:r w:rsidR="00374044">
        <w:t xml:space="preserve"> with</w:t>
      </w:r>
      <w:r>
        <w:t xml:space="preserve"> certain</w:t>
      </w:r>
      <w:r w:rsidR="00374044">
        <w:t>t</w:t>
      </w:r>
      <w:r>
        <w:t xml:space="preserve">y. A discussion about the differences in impedance at injection and flat top between SPS and LHC followed. </w:t>
      </w:r>
    </w:p>
    <w:p w14:paraId="00000057" w14:textId="340B3F2C" w:rsidR="005D2805" w:rsidRDefault="0048209D">
      <w:r>
        <w:t>-</w:t>
      </w:r>
      <w:r>
        <w:tab/>
      </w:r>
      <w:r>
        <w:rPr>
          <w:b/>
        </w:rPr>
        <w:t xml:space="preserve">Christine </w:t>
      </w:r>
      <w:r>
        <w:t xml:space="preserve">asks how much detuning of the cavity will be needed? </w:t>
      </w:r>
      <w:r>
        <w:rPr>
          <w:b/>
        </w:rPr>
        <w:t>Lorenzo</w:t>
      </w:r>
      <w:r>
        <w:t xml:space="preserve"> refers to the figure given on slide 10 explaining that with a few kHz detuning a reduction of two orders of magnitude can be achieved. </w:t>
      </w:r>
      <w:r>
        <w:rPr>
          <w:b/>
        </w:rPr>
        <w:t xml:space="preserve">Nicolas </w:t>
      </w:r>
      <w:r>
        <w:t xml:space="preserve">adds to the explanation that the first detuning shall be half of the first sideband, thus around 1.5 kHz, and then further less than 8 kHz due to the following periodicity. In addition, he mentions that the range of detuning for the cavity lies within </w:t>
      </w:r>
      <w:proofErr w:type="spellStart"/>
      <w:r>
        <w:t>MHz.</w:t>
      </w:r>
      <w:proofErr w:type="spellEnd"/>
      <w:r>
        <w:t xml:space="preserve">  </w:t>
      </w:r>
    </w:p>
    <w:p w14:paraId="2E833B93" w14:textId="16C0B3A2" w:rsidR="0029564B" w:rsidRDefault="0029564B"/>
    <w:p w14:paraId="79B81B8D" w14:textId="1396CC7A" w:rsidR="0029564B" w:rsidRPr="005A174E" w:rsidRDefault="0029564B">
      <w:pPr>
        <w:rPr>
          <w:b/>
          <w:bCs/>
        </w:rPr>
      </w:pPr>
      <w:r w:rsidRPr="005A174E">
        <w:rPr>
          <w:b/>
          <w:bCs/>
          <w:color w:val="FF0000"/>
        </w:rPr>
        <w:t>ACTION (for Lorenzo): simulate whether beam will be stable or unstable during the SPS MD.</w:t>
      </w:r>
      <w:r w:rsidRPr="005A174E">
        <w:rPr>
          <w:b/>
          <w:bCs/>
        </w:rPr>
        <w:t xml:space="preserve"> </w:t>
      </w:r>
    </w:p>
    <w:p w14:paraId="00000058" w14:textId="77777777" w:rsidR="005D2805" w:rsidRDefault="005D2805">
      <w:pPr>
        <w:rPr>
          <w:rFonts w:ascii="Arial" w:eastAsia="Arial" w:hAnsi="Arial" w:cs="Arial"/>
          <w:b/>
        </w:rPr>
      </w:pPr>
    </w:p>
    <w:p w14:paraId="00000059" w14:textId="77777777" w:rsidR="005D2805" w:rsidRDefault="0048209D">
      <w:pPr>
        <w:pStyle w:val="Heading1"/>
      </w:pPr>
      <w:bookmarkStart w:id="4" w:name="_3nnwlfyh6hwf" w:colFirst="0" w:colLast="0"/>
      <w:bookmarkEnd w:id="4"/>
      <w:r>
        <w:t>AOBs</w:t>
      </w:r>
    </w:p>
    <w:p w14:paraId="38B9F516" w14:textId="77777777" w:rsidR="001F25A6" w:rsidRDefault="001F25A6">
      <w:r>
        <w:t xml:space="preserve">Collimator measurements on </w:t>
      </w:r>
      <w:proofErr w:type="gramStart"/>
      <w:r>
        <w:t>TCTP;</w:t>
      </w:r>
      <w:proofErr w:type="gramEnd"/>
    </w:p>
    <w:p w14:paraId="0000005A" w14:textId="2FABFC01" w:rsidR="005D2805" w:rsidRDefault="001F25A6">
      <w:r>
        <w:t xml:space="preserve">Adnan confirmed that </w:t>
      </w:r>
      <w:proofErr w:type="gramStart"/>
      <w:r>
        <w:t>at the moment</w:t>
      </w:r>
      <w:proofErr w:type="gramEnd"/>
      <w:r>
        <w:t xml:space="preserve"> no additional measurements needed and/or planned and no further request is pending.</w:t>
      </w:r>
    </w:p>
    <w:p w14:paraId="0000005B" w14:textId="77777777" w:rsidR="005D2805" w:rsidRDefault="0048209D">
      <w:pPr>
        <w:pStyle w:val="Heading1"/>
      </w:pPr>
      <w:bookmarkStart w:id="5" w:name="_qaay87i9sbza" w:colFirst="0" w:colLast="0"/>
      <w:bookmarkEnd w:id="5"/>
      <w:r>
        <w:t>Actions summary</w:t>
      </w:r>
    </w:p>
    <w:p w14:paraId="428C7318" w14:textId="77777777" w:rsidR="00B50788" w:rsidRDefault="00B50788" w:rsidP="00B50788">
      <w:pPr>
        <w:spacing w:before="240" w:after="240"/>
        <w:rPr>
          <w:b/>
          <w:color w:val="FF0000"/>
        </w:rPr>
      </w:pPr>
      <w:r>
        <w:rPr>
          <w:b/>
          <w:color w:val="FF0000"/>
        </w:rPr>
        <w:t>ACTION: discussion about the implementation of the transition pieces in the KFA79 with the equipment owner.</w:t>
      </w:r>
    </w:p>
    <w:p w14:paraId="21284AB8" w14:textId="77777777" w:rsidR="00B50788" w:rsidRDefault="00B50788" w:rsidP="00B50788">
      <w:pPr>
        <w:spacing w:before="240" w:after="240"/>
        <w:rPr>
          <w:b/>
          <w:color w:val="FF0000"/>
        </w:rPr>
      </w:pPr>
      <w:r>
        <w:rPr>
          <w:b/>
          <w:color w:val="FF0000"/>
        </w:rPr>
        <w:t>ACTION: Simulation of the transverse impedance for KFA79.</w:t>
      </w:r>
    </w:p>
    <w:p w14:paraId="21C73702" w14:textId="31A6A5F6" w:rsidR="00B50788" w:rsidRDefault="00B50788" w:rsidP="00B50788">
      <w:pPr>
        <w:spacing w:before="240" w:after="240"/>
        <w:rPr>
          <w:b/>
          <w:color w:val="FF0000"/>
        </w:rPr>
      </w:pPr>
      <w:r>
        <w:rPr>
          <w:b/>
          <w:color w:val="FF0000"/>
        </w:rPr>
        <w:t>ACTION: check the impact on longitudinal and transverse stability of KFA79 and KFA71</w:t>
      </w:r>
    </w:p>
    <w:p w14:paraId="0DC85262" w14:textId="77777777" w:rsidR="00B50788" w:rsidRPr="00576AA1" w:rsidRDefault="00B50788" w:rsidP="00B50788">
      <w:pPr>
        <w:rPr>
          <w:b/>
          <w:bCs/>
        </w:rPr>
      </w:pPr>
      <w:r w:rsidRPr="00576AA1">
        <w:rPr>
          <w:b/>
          <w:bCs/>
          <w:color w:val="FF0000"/>
        </w:rPr>
        <w:lastRenderedPageBreak/>
        <w:t>ACTION (for Lorenzo): simulate whether beam will be stable or unstable during the SPS MD.</w:t>
      </w:r>
      <w:r w:rsidRPr="00576AA1">
        <w:rPr>
          <w:b/>
          <w:bCs/>
        </w:rPr>
        <w:t xml:space="preserve"> </w:t>
      </w:r>
    </w:p>
    <w:p w14:paraId="0000005D" w14:textId="223CC28D" w:rsidR="005D2805" w:rsidRDefault="005D2805" w:rsidP="00B50788">
      <w:pPr>
        <w:spacing w:before="240" w:after="240"/>
        <w:rPr>
          <w:rFonts w:ascii="Arial" w:eastAsia="Arial" w:hAnsi="Arial" w:cs="Arial"/>
          <w:color w:val="FF0000"/>
          <w:sz w:val="20"/>
          <w:szCs w:val="20"/>
        </w:rPr>
      </w:pPr>
    </w:p>
    <w:sectPr w:rsidR="005D2805">
      <w:headerReference w:type="default" r:id="rId8"/>
      <w:footerReference w:type="default" r:id="rId9"/>
      <w:pgSz w:w="11900" w:h="16840"/>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537B04" w14:textId="77777777" w:rsidR="00445E0A" w:rsidRDefault="00445E0A">
      <w:r>
        <w:separator/>
      </w:r>
    </w:p>
  </w:endnote>
  <w:endnote w:type="continuationSeparator" w:id="0">
    <w:p w14:paraId="1FD6D5D6" w14:textId="77777777" w:rsidR="00445E0A" w:rsidRDefault="00445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Neue">
    <w:altName w:val="Arial"/>
    <w:charset w:val="00"/>
    <w:family w:val="auto"/>
    <w:pitch w:val="default"/>
  </w:font>
  <w:font w:name="Arimo">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F" w14:textId="77777777" w:rsidR="005D2805" w:rsidRDefault="005D2805">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831EF" w14:textId="77777777" w:rsidR="00445E0A" w:rsidRDefault="00445E0A">
      <w:r>
        <w:separator/>
      </w:r>
    </w:p>
  </w:footnote>
  <w:footnote w:type="continuationSeparator" w:id="0">
    <w:p w14:paraId="7CE7BA1A" w14:textId="77777777" w:rsidR="00445E0A" w:rsidRDefault="00445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E" w14:textId="77777777" w:rsidR="005D2805" w:rsidRDefault="005D2805">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0D2F6C"/>
    <w:multiLevelType w:val="multilevel"/>
    <w:tmpl w:val="1D2ED34C"/>
    <w:lvl w:ilvl="0">
      <w:start w:val="1"/>
      <w:numFmt w:val="bullet"/>
      <w:lvlText w:val="●"/>
      <w:lvlJc w:val="left"/>
      <w:pPr>
        <w:ind w:left="687" w:hanging="327"/>
      </w:pPr>
      <w:rPr>
        <w:rFonts w:ascii="Helvetica Neue" w:eastAsia="Helvetica Neue" w:hAnsi="Helvetica Neue" w:cs="Helvetica Neue"/>
        <w:b w:val="0"/>
        <w:i w:val="0"/>
        <w:smallCaps w:val="0"/>
        <w:strike w:val="0"/>
        <w:sz w:val="18"/>
        <w:szCs w:val="18"/>
        <w:shd w:val="clear" w:color="auto" w:fill="auto"/>
        <w:vertAlign w:val="baseline"/>
      </w:rPr>
    </w:lvl>
    <w:lvl w:ilvl="1">
      <w:start w:val="1"/>
      <w:numFmt w:val="bullet"/>
      <w:lvlText w:val="o"/>
      <w:lvlJc w:val="left"/>
      <w:pPr>
        <w:ind w:left="1407" w:hanging="327"/>
      </w:pPr>
      <w:rPr>
        <w:rFonts w:ascii="Helvetica Neue" w:eastAsia="Helvetica Neue" w:hAnsi="Helvetica Neue" w:cs="Helvetica Neue"/>
        <w:b w:val="0"/>
        <w:i w:val="0"/>
        <w:smallCaps w:val="0"/>
        <w:strike w:val="0"/>
        <w:sz w:val="18"/>
        <w:szCs w:val="18"/>
        <w:shd w:val="clear" w:color="auto" w:fill="auto"/>
        <w:vertAlign w:val="baseline"/>
      </w:rPr>
    </w:lvl>
    <w:lvl w:ilvl="2">
      <w:start w:val="1"/>
      <w:numFmt w:val="bullet"/>
      <w:lvlText w:val="▪"/>
      <w:lvlJc w:val="left"/>
      <w:pPr>
        <w:ind w:left="2127" w:hanging="327"/>
      </w:pPr>
      <w:rPr>
        <w:rFonts w:ascii="Arimo" w:eastAsia="Arimo" w:hAnsi="Arimo" w:cs="Arimo"/>
        <w:b w:val="0"/>
        <w:i w:val="0"/>
        <w:smallCaps w:val="0"/>
        <w:strike w:val="0"/>
        <w:sz w:val="18"/>
        <w:szCs w:val="18"/>
        <w:shd w:val="clear" w:color="auto" w:fill="auto"/>
        <w:vertAlign w:val="baseline"/>
      </w:rPr>
    </w:lvl>
    <w:lvl w:ilvl="3">
      <w:start w:val="1"/>
      <w:numFmt w:val="bullet"/>
      <w:lvlText w:val="▪"/>
      <w:lvlJc w:val="left"/>
      <w:pPr>
        <w:ind w:left="2847" w:hanging="327"/>
      </w:pPr>
      <w:rPr>
        <w:rFonts w:ascii="Arimo" w:eastAsia="Arimo" w:hAnsi="Arimo" w:cs="Arimo"/>
        <w:b w:val="0"/>
        <w:i w:val="0"/>
        <w:smallCaps w:val="0"/>
        <w:strike w:val="0"/>
        <w:sz w:val="18"/>
        <w:szCs w:val="18"/>
        <w:shd w:val="clear" w:color="auto" w:fill="auto"/>
        <w:vertAlign w:val="baseline"/>
      </w:rPr>
    </w:lvl>
    <w:lvl w:ilvl="4">
      <w:start w:val="1"/>
      <w:numFmt w:val="bullet"/>
      <w:lvlText w:val="▪"/>
      <w:lvlJc w:val="left"/>
      <w:pPr>
        <w:ind w:left="3567" w:hanging="327"/>
      </w:pPr>
      <w:rPr>
        <w:rFonts w:ascii="Arimo" w:eastAsia="Arimo" w:hAnsi="Arimo" w:cs="Arimo"/>
        <w:b w:val="0"/>
        <w:i w:val="0"/>
        <w:smallCaps w:val="0"/>
        <w:strike w:val="0"/>
        <w:sz w:val="18"/>
        <w:szCs w:val="18"/>
        <w:shd w:val="clear" w:color="auto" w:fill="auto"/>
        <w:vertAlign w:val="baseline"/>
      </w:rPr>
    </w:lvl>
    <w:lvl w:ilvl="5">
      <w:start w:val="1"/>
      <w:numFmt w:val="bullet"/>
      <w:lvlText w:val="▪"/>
      <w:lvlJc w:val="left"/>
      <w:pPr>
        <w:ind w:left="4287" w:hanging="327"/>
      </w:pPr>
      <w:rPr>
        <w:rFonts w:ascii="Arimo" w:eastAsia="Arimo" w:hAnsi="Arimo" w:cs="Arimo"/>
        <w:b w:val="0"/>
        <w:i w:val="0"/>
        <w:smallCaps w:val="0"/>
        <w:strike w:val="0"/>
        <w:sz w:val="18"/>
        <w:szCs w:val="18"/>
        <w:shd w:val="clear" w:color="auto" w:fill="auto"/>
        <w:vertAlign w:val="baseline"/>
      </w:rPr>
    </w:lvl>
    <w:lvl w:ilvl="6">
      <w:start w:val="1"/>
      <w:numFmt w:val="bullet"/>
      <w:lvlText w:val="▪"/>
      <w:lvlJc w:val="left"/>
      <w:pPr>
        <w:ind w:left="5007" w:hanging="327"/>
      </w:pPr>
      <w:rPr>
        <w:rFonts w:ascii="Arimo" w:eastAsia="Arimo" w:hAnsi="Arimo" w:cs="Arimo"/>
        <w:b w:val="0"/>
        <w:i w:val="0"/>
        <w:smallCaps w:val="0"/>
        <w:strike w:val="0"/>
        <w:sz w:val="18"/>
        <w:szCs w:val="18"/>
        <w:shd w:val="clear" w:color="auto" w:fill="auto"/>
        <w:vertAlign w:val="baseline"/>
      </w:rPr>
    </w:lvl>
    <w:lvl w:ilvl="7">
      <w:start w:val="1"/>
      <w:numFmt w:val="bullet"/>
      <w:lvlText w:val="▪"/>
      <w:lvlJc w:val="left"/>
      <w:pPr>
        <w:ind w:left="5727" w:hanging="327"/>
      </w:pPr>
      <w:rPr>
        <w:rFonts w:ascii="Arimo" w:eastAsia="Arimo" w:hAnsi="Arimo" w:cs="Arimo"/>
        <w:b w:val="0"/>
        <w:i w:val="0"/>
        <w:smallCaps w:val="0"/>
        <w:strike w:val="0"/>
        <w:sz w:val="18"/>
        <w:szCs w:val="18"/>
        <w:shd w:val="clear" w:color="auto" w:fill="auto"/>
        <w:vertAlign w:val="baseline"/>
      </w:rPr>
    </w:lvl>
    <w:lvl w:ilvl="8">
      <w:start w:val="1"/>
      <w:numFmt w:val="bullet"/>
      <w:lvlText w:val="▪"/>
      <w:lvlJc w:val="left"/>
      <w:pPr>
        <w:ind w:left="6447" w:hanging="327"/>
      </w:pPr>
      <w:rPr>
        <w:rFonts w:ascii="Arimo" w:eastAsia="Arimo" w:hAnsi="Arimo" w:cs="Arimo"/>
        <w:b w:val="0"/>
        <w:i w:val="0"/>
        <w:smallCaps w:val="0"/>
        <w:strike w:val="0"/>
        <w:sz w:val="18"/>
        <w:szCs w:val="18"/>
        <w:shd w:val="clear" w:color="auto" w:fill="auto"/>
        <w:vertAlign w:val="baseline"/>
      </w:rPr>
    </w:lvl>
  </w:abstractNum>
  <w:abstractNum w:abstractNumId="1" w15:restartNumberingAfterBreak="0">
    <w:nsid w:val="37190022"/>
    <w:multiLevelType w:val="multilevel"/>
    <w:tmpl w:val="8EE8D996"/>
    <w:lvl w:ilvl="0">
      <w:start w:val="1"/>
      <w:numFmt w:val="bullet"/>
      <w:lvlText w:val="●"/>
      <w:lvlJc w:val="left"/>
      <w:pPr>
        <w:ind w:left="720" w:hanging="360"/>
      </w:pPr>
      <w:rPr>
        <w:rFonts w:ascii="Helvetica Neue" w:eastAsia="Helvetica Neue" w:hAnsi="Helvetica Neue" w:cs="Helvetica Neue"/>
        <w:b w:val="0"/>
        <w:i w:val="0"/>
        <w:smallCaps w:val="0"/>
        <w:strike w:val="0"/>
        <w:sz w:val="18"/>
        <w:szCs w:val="18"/>
        <w:shd w:val="clear" w:color="auto" w:fill="auto"/>
        <w:vertAlign w:val="baseline"/>
      </w:rPr>
    </w:lvl>
    <w:lvl w:ilvl="1">
      <w:start w:val="1"/>
      <w:numFmt w:val="bullet"/>
      <w:lvlText w:val="o"/>
      <w:lvlJc w:val="left"/>
      <w:pPr>
        <w:ind w:left="1440" w:hanging="360"/>
      </w:pPr>
      <w:rPr>
        <w:rFonts w:ascii="Courier New" w:eastAsia="Courier New" w:hAnsi="Courier New" w:cs="Courier New"/>
        <w:b w:val="0"/>
        <w:i w:val="0"/>
        <w:smallCaps w:val="0"/>
        <w:strike w:val="0"/>
        <w:sz w:val="18"/>
        <w:szCs w:val="18"/>
        <w:shd w:val="clear" w:color="auto" w:fill="auto"/>
        <w:vertAlign w:val="baseline"/>
      </w:rPr>
    </w:lvl>
    <w:lvl w:ilvl="2">
      <w:start w:val="1"/>
      <w:numFmt w:val="bullet"/>
      <w:lvlText w:val="▪"/>
      <w:lvlJc w:val="left"/>
      <w:pPr>
        <w:ind w:left="2127" w:hanging="327"/>
      </w:pPr>
      <w:rPr>
        <w:rFonts w:ascii="Courier New" w:eastAsia="Courier New" w:hAnsi="Courier New" w:cs="Courier New"/>
        <w:b w:val="0"/>
        <w:i w:val="0"/>
        <w:smallCaps w:val="0"/>
        <w:strike w:val="0"/>
        <w:sz w:val="18"/>
        <w:szCs w:val="18"/>
        <w:shd w:val="clear" w:color="auto" w:fill="auto"/>
        <w:vertAlign w:val="baseline"/>
      </w:rPr>
    </w:lvl>
    <w:lvl w:ilvl="3">
      <w:start w:val="1"/>
      <w:numFmt w:val="bullet"/>
      <w:lvlText w:val="▪"/>
      <w:lvlJc w:val="left"/>
      <w:pPr>
        <w:ind w:left="2847" w:hanging="327"/>
      </w:pPr>
      <w:rPr>
        <w:rFonts w:ascii="Courier New" w:eastAsia="Courier New" w:hAnsi="Courier New" w:cs="Courier New"/>
        <w:b w:val="0"/>
        <w:i w:val="0"/>
        <w:smallCaps w:val="0"/>
        <w:strike w:val="0"/>
        <w:sz w:val="18"/>
        <w:szCs w:val="18"/>
        <w:shd w:val="clear" w:color="auto" w:fill="auto"/>
        <w:vertAlign w:val="baseline"/>
      </w:rPr>
    </w:lvl>
    <w:lvl w:ilvl="4">
      <w:start w:val="1"/>
      <w:numFmt w:val="bullet"/>
      <w:lvlText w:val="▪"/>
      <w:lvlJc w:val="left"/>
      <w:pPr>
        <w:ind w:left="3567" w:hanging="327"/>
      </w:pPr>
      <w:rPr>
        <w:rFonts w:ascii="Courier New" w:eastAsia="Courier New" w:hAnsi="Courier New" w:cs="Courier New"/>
        <w:b w:val="0"/>
        <w:i w:val="0"/>
        <w:smallCaps w:val="0"/>
        <w:strike w:val="0"/>
        <w:sz w:val="18"/>
        <w:szCs w:val="18"/>
        <w:shd w:val="clear" w:color="auto" w:fill="auto"/>
        <w:vertAlign w:val="baseline"/>
      </w:rPr>
    </w:lvl>
    <w:lvl w:ilvl="5">
      <w:start w:val="1"/>
      <w:numFmt w:val="bullet"/>
      <w:lvlText w:val="▪"/>
      <w:lvlJc w:val="left"/>
      <w:pPr>
        <w:ind w:left="4287" w:hanging="327"/>
      </w:pPr>
      <w:rPr>
        <w:rFonts w:ascii="Courier New" w:eastAsia="Courier New" w:hAnsi="Courier New" w:cs="Courier New"/>
        <w:b w:val="0"/>
        <w:i w:val="0"/>
        <w:smallCaps w:val="0"/>
        <w:strike w:val="0"/>
        <w:sz w:val="18"/>
        <w:szCs w:val="18"/>
        <w:shd w:val="clear" w:color="auto" w:fill="auto"/>
        <w:vertAlign w:val="baseline"/>
      </w:rPr>
    </w:lvl>
    <w:lvl w:ilvl="6">
      <w:start w:val="1"/>
      <w:numFmt w:val="bullet"/>
      <w:lvlText w:val="▪"/>
      <w:lvlJc w:val="left"/>
      <w:pPr>
        <w:ind w:left="5007" w:hanging="327"/>
      </w:pPr>
      <w:rPr>
        <w:rFonts w:ascii="Courier New" w:eastAsia="Courier New" w:hAnsi="Courier New" w:cs="Courier New"/>
        <w:b w:val="0"/>
        <w:i w:val="0"/>
        <w:smallCaps w:val="0"/>
        <w:strike w:val="0"/>
        <w:sz w:val="18"/>
        <w:szCs w:val="18"/>
        <w:shd w:val="clear" w:color="auto" w:fill="auto"/>
        <w:vertAlign w:val="baseline"/>
      </w:rPr>
    </w:lvl>
    <w:lvl w:ilvl="7">
      <w:start w:val="1"/>
      <w:numFmt w:val="bullet"/>
      <w:lvlText w:val="▪"/>
      <w:lvlJc w:val="left"/>
      <w:pPr>
        <w:ind w:left="5727" w:hanging="327"/>
      </w:pPr>
      <w:rPr>
        <w:rFonts w:ascii="Courier New" w:eastAsia="Courier New" w:hAnsi="Courier New" w:cs="Courier New"/>
        <w:b w:val="0"/>
        <w:i w:val="0"/>
        <w:smallCaps w:val="0"/>
        <w:strike w:val="0"/>
        <w:sz w:val="18"/>
        <w:szCs w:val="18"/>
        <w:shd w:val="clear" w:color="auto" w:fill="auto"/>
        <w:vertAlign w:val="baseline"/>
      </w:rPr>
    </w:lvl>
    <w:lvl w:ilvl="8">
      <w:start w:val="1"/>
      <w:numFmt w:val="bullet"/>
      <w:lvlText w:val="▪"/>
      <w:lvlJc w:val="left"/>
      <w:pPr>
        <w:ind w:left="6447" w:hanging="327"/>
      </w:pPr>
      <w:rPr>
        <w:rFonts w:ascii="Courier New" w:eastAsia="Courier New" w:hAnsi="Courier New" w:cs="Courier New"/>
        <w:b w:val="0"/>
        <w:i w:val="0"/>
        <w:smallCaps w:val="0"/>
        <w:strike w:val="0"/>
        <w:sz w:val="18"/>
        <w:szCs w:val="18"/>
        <w:shd w:val="clear" w:color="auto" w:fill="auto"/>
        <w:vertAlign w:val="baseline"/>
      </w:rPr>
    </w:lvl>
  </w:abstractNum>
  <w:num w:numId="1" w16cid:durableId="1810125167">
    <w:abstractNumId w:val="1"/>
  </w:num>
  <w:num w:numId="2" w16cid:durableId="20204231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805"/>
    <w:rsid w:val="00077936"/>
    <w:rsid w:val="000E0A02"/>
    <w:rsid w:val="00100E1F"/>
    <w:rsid w:val="00125C53"/>
    <w:rsid w:val="001A1EAD"/>
    <w:rsid w:val="001E4D76"/>
    <w:rsid w:val="001F25A6"/>
    <w:rsid w:val="00212B0D"/>
    <w:rsid w:val="00265C33"/>
    <w:rsid w:val="0029564B"/>
    <w:rsid w:val="002E0F6C"/>
    <w:rsid w:val="00374044"/>
    <w:rsid w:val="00387E8C"/>
    <w:rsid w:val="003F1E96"/>
    <w:rsid w:val="00445E0A"/>
    <w:rsid w:val="0048209D"/>
    <w:rsid w:val="004F6E47"/>
    <w:rsid w:val="00567332"/>
    <w:rsid w:val="005A174E"/>
    <w:rsid w:val="005D076E"/>
    <w:rsid w:val="005D2805"/>
    <w:rsid w:val="005E0D61"/>
    <w:rsid w:val="005F4267"/>
    <w:rsid w:val="005F44BF"/>
    <w:rsid w:val="007A6FE3"/>
    <w:rsid w:val="007D5D1A"/>
    <w:rsid w:val="00804B93"/>
    <w:rsid w:val="00817E2A"/>
    <w:rsid w:val="0090214D"/>
    <w:rsid w:val="009517FC"/>
    <w:rsid w:val="00955593"/>
    <w:rsid w:val="00A96B0C"/>
    <w:rsid w:val="00B24DF0"/>
    <w:rsid w:val="00B50788"/>
    <w:rsid w:val="00BC7618"/>
    <w:rsid w:val="00BF4F27"/>
    <w:rsid w:val="00C15CAE"/>
    <w:rsid w:val="00C30DD6"/>
    <w:rsid w:val="00D536A0"/>
    <w:rsid w:val="00EA005E"/>
    <w:rsid w:val="00EC0E7B"/>
    <w:rsid w:val="00FE5E64"/>
    <w:rsid w:val="00FF04A5"/>
    <w:rsid w:val="00FF55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EE27D"/>
  <w15:docId w15:val="{DE80487F-7EDB-4E47-BD81-0CC0B317A5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160"/>
      <w:jc w:val="both"/>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65C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indico.cern.ch/event/11815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2943</Words>
  <Characters>16777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Benoit Salvant</dc:creator>
  <cp:lastModifiedBy>Christine Vollinger</cp:lastModifiedBy>
  <cp:revision>3</cp:revision>
  <dcterms:created xsi:type="dcterms:W3CDTF">2022-09-12T15:49:00Z</dcterms:created>
  <dcterms:modified xsi:type="dcterms:W3CDTF">2022-09-12T15:49:00Z</dcterms:modified>
</cp:coreProperties>
</file>