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665" w:rsidRDefault="00C739BA" w:rsidP="00165665">
      <w:pPr>
        <w:pStyle w:val="Heading1"/>
      </w:pPr>
      <w:r>
        <w:t>Emittance Preservation in the LHC</w:t>
      </w:r>
    </w:p>
    <w:p w:rsidR="00165665" w:rsidRPr="00C739BA" w:rsidRDefault="00C739BA" w:rsidP="00165665">
      <w:pPr>
        <w:pStyle w:val="AuthorList"/>
        <w:rPr>
          <w:kern w:val="16"/>
          <w:lang w:val="en-US"/>
        </w:rPr>
        <w:sectPr w:rsidR="00165665" w:rsidRPr="00C739BA" w:rsidSect="00074A20">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r>
        <w:rPr>
          <w:kern w:val="16"/>
          <w:lang w:val="en-US"/>
        </w:rPr>
        <w:t>V. Kain, G. Arduini, B. Goddard, B.J. Holzer, J. M. Jowett, M. Meddahi, T. Mertens, F. Roncarolo, M. Schaumann, R. Versteegen, J. Wenninger</w:t>
      </w:r>
      <w:r w:rsidR="00165665" w:rsidRPr="00C739BA">
        <w:rPr>
          <w:kern w:val="16"/>
          <w:lang w:val="en-US"/>
        </w:rPr>
        <w:t xml:space="preserve">, CERN, Geneva, </w:t>
      </w:r>
      <w:r w:rsidR="00165665" w:rsidRPr="00C739BA">
        <w:rPr>
          <w:lang w:val="en-US"/>
        </w:rPr>
        <w:t>Switzerland</w:t>
      </w:r>
      <w:r>
        <w:rPr>
          <w:kern w:val="16"/>
          <w:lang w:val="en-US"/>
        </w:rPr>
        <w:t>.</w:t>
      </w:r>
    </w:p>
    <w:p w:rsidR="00165665" w:rsidRDefault="00165665" w:rsidP="00165665">
      <w:pPr>
        <w:pStyle w:val="AbstractTitle"/>
        <w:rPr>
          <w:kern w:val="16"/>
        </w:rPr>
      </w:pPr>
      <w:r>
        <w:rPr>
          <w:kern w:val="16"/>
        </w:rPr>
        <w:lastRenderedPageBreak/>
        <w:t>Abstract</w:t>
      </w:r>
    </w:p>
    <w:p w:rsidR="00165665" w:rsidRDefault="00BD1DE1" w:rsidP="00165665">
      <w:pPr>
        <w:pStyle w:val="BodyTextIndent"/>
        <w:rPr>
          <w:kern w:val="16"/>
        </w:rPr>
      </w:pPr>
      <w:r w:rsidRPr="00BD1DE1">
        <w:rPr>
          <w:kern w:val="16"/>
        </w:rPr>
        <w:t xml:space="preserve">Emittance measurements during the LHC proton run 2011 indicated a blow-up of 20 % to 30 % from LHC injection to collisions. At the LHC design stage the total allowed emittance increase from SPS extraction to colliding beams was set to 7 %. This presentation will show the emittance preservation throughout the different parts of the LHC cycle and discuss the current limitations on emittance determination. Possible sources and cures for the observed blow-up will be presented. Possible improvements of emittance diagnostics and analysis tools together with a list of machine development tests in 2012 will also be shown.  </w:t>
      </w:r>
    </w:p>
    <w:p w:rsidR="00165665" w:rsidRDefault="00C77A70" w:rsidP="00165665">
      <w:pPr>
        <w:pStyle w:val="Heading2"/>
        <w:spacing w:before="180"/>
      </w:pPr>
      <w:r>
        <w:t>introduction</w:t>
      </w:r>
    </w:p>
    <w:p w:rsidR="00FE6A22" w:rsidRDefault="008950B3" w:rsidP="008D3099">
      <w:pPr>
        <w:pStyle w:val="BodyTextIndent"/>
        <w:rPr>
          <w:kern w:val="16"/>
        </w:rPr>
      </w:pPr>
      <w:r>
        <w:rPr>
          <w:kern w:val="16"/>
        </w:rPr>
        <w:t>One reason of the</w:t>
      </w:r>
      <w:r w:rsidR="00BC20B2">
        <w:rPr>
          <w:kern w:val="16"/>
        </w:rPr>
        <w:t xml:space="preserve"> remarkable performance of the LHC in 2011 was</w:t>
      </w:r>
      <w:r>
        <w:rPr>
          <w:kern w:val="16"/>
        </w:rPr>
        <w:t xml:space="preserve"> </w:t>
      </w:r>
      <w:r w:rsidR="00BC20B2">
        <w:rPr>
          <w:kern w:val="16"/>
        </w:rPr>
        <w:t xml:space="preserve">the extraordinary performance of the LHC injectors. Bunch intensities of 1.5 </w:t>
      </w:r>
      <w:r>
        <w:rPr>
          <w:kern w:val="16"/>
        </w:rPr>
        <w:t>× 10</w:t>
      </w:r>
      <w:r w:rsidR="00BC20B2" w:rsidRPr="008950B3">
        <w:rPr>
          <w:kern w:val="16"/>
          <w:vertAlign w:val="superscript"/>
        </w:rPr>
        <w:t>11</w:t>
      </w:r>
      <w:r>
        <w:rPr>
          <w:kern w:val="16"/>
        </w:rPr>
        <w:t xml:space="preserve"> protons with</w:t>
      </w:r>
      <w:r w:rsidR="00BC20B2">
        <w:rPr>
          <w:kern w:val="16"/>
        </w:rPr>
        <w:t xml:space="preserve"> emittances of about 2 </w:t>
      </w:r>
      <w:r w:rsidR="00BC20B2" w:rsidRPr="008950B3">
        <w:rPr>
          <w:rFonts w:ascii="Symbol" w:hAnsi="Symbol"/>
          <w:kern w:val="16"/>
        </w:rPr>
        <w:t></w:t>
      </w:r>
      <w:r w:rsidR="00BC20B2">
        <w:rPr>
          <w:kern w:val="16"/>
        </w:rPr>
        <w:t>m were produced</w:t>
      </w:r>
      <w:r>
        <w:rPr>
          <w:kern w:val="16"/>
        </w:rPr>
        <w:t xml:space="preserve"> for the 50 ns beams</w:t>
      </w:r>
      <w:r w:rsidR="00BC20B2">
        <w:rPr>
          <w:kern w:val="16"/>
        </w:rPr>
        <w:t xml:space="preserve">. </w:t>
      </w:r>
      <w:r>
        <w:rPr>
          <w:kern w:val="16"/>
        </w:rPr>
        <w:t>And the e</w:t>
      </w:r>
      <w:r w:rsidR="00BC20B2">
        <w:rPr>
          <w:kern w:val="16"/>
        </w:rPr>
        <w:t>mittance</w:t>
      </w:r>
      <w:r>
        <w:rPr>
          <w:kern w:val="16"/>
        </w:rPr>
        <w:t>s could be kept below nominal until the start of collisions in the LHC. Blow-up is however apparent throughout the LHC cycle</w:t>
      </w:r>
      <w:r w:rsidR="00856118">
        <w:rPr>
          <w:kern w:val="16"/>
        </w:rPr>
        <w:t>.</w:t>
      </w:r>
      <w:r w:rsidR="00BC20B2">
        <w:rPr>
          <w:kern w:val="16"/>
        </w:rPr>
        <w:t xml:space="preserve">  </w:t>
      </w:r>
    </w:p>
    <w:p w:rsidR="008D3099" w:rsidRDefault="00FE6A22" w:rsidP="008D3099">
      <w:pPr>
        <w:pStyle w:val="BodyTextIndent"/>
        <w:rPr>
          <w:kern w:val="16"/>
        </w:rPr>
      </w:pPr>
      <w:r>
        <w:rPr>
          <w:kern w:val="16"/>
        </w:rPr>
        <w:t xml:space="preserve">This paper analyses </w:t>
      </w:r>
      <w:r w:rsidR="00856118">
        <w:rPr>
          <w:kern w:val="16"/>
        </w:rPr>
        <w:t>e</w:t>
      </w:r>
      <w:r w:rsidR="00734D8D">
        <w:rPr>
          <w:kern w:val="16"/>
        </w:rPr>
        <w:t>mittance preservation from SPS extraction to st</w:t>
      </w:r>
      <w:r w:rsidR="00287234">
        <w:rPr>
          <w:kern w:val="16"/>
        </w:rPr>
        <w:t>art of LHC collisions</w:t>
      </w:r>
      <w:r w:rsidR="00856118">
        <w:rPr>
          <w:kern w:val="16"/>
        </w:rPr>
        <w:t>. T</w:t>
      </w:r>
      <w:r w:rsidR="00287234">
        <w:rPr>
          <w:kern w:val="16"/>
        </w:rPr>
        <w:t>he focus</w:t>
      </w:r>
      <w:r w:rsidR="00856118">
        <w:rPr>
          <w:kern w:val="16"/>
        </w:rPr>
        <w:t xml:space="preserve"> is</w:t>
      </w:r>
      <w:r w:rsidR="00287234">
        <w:rPr>
          <w:kern w:val="16"/>
        </w:rPr>
        <w:t xml:space="preserve"> on the blow-up under nominal</w:t>
      </w:r>
      <w:r w:rsidR="00346355">
        <w:rPr>
          <w:kern w:val="16"/>
        </w:rPr>
        <w:t xml:space="preserve"> 2011 run</w:t>
      </w:r>
      <w:r w:rsidR="00287234">
        <w:rPr>
          <w:kern w:val="16"/>
        </w:rPr>
        <w:t xml:space="preserve"> conditions</w:t>
      </w:r>
      <w:r>
        <w:rPr>
          <w:kern w:val="16"/>
        </w:rPr>
        <w:t>, see Table 1</w:t>
      </w:r>
      <w:r w:rsidR="00287234">
        <w:rPr>
          <w:kern w:val="16"/>
        </w:rPr>
        <w:t xml:space="preserve">. </w:t>
      </w:r>
      <w:r>
        <w:rPr>
          <w:kern w:val="16"/>
        </w:rPr>
        <w:t xml:space="preserve">The </w:t>
      </w:r>
      <w:r w:rsidR="00734D8D">
        <w:rPr>
          <w:kern w:val="16"/>
        </w:rPr>
        <w:t>behaviour of emittances with 25 ns</w:t>
      </w:r>
      <w:r w:rsidR="006724C5">
        <w:rPr>
          <w:kern w:val="16"/>
        </w:rPr>
        <w:t xml:space="preserve"> beams as</w:t>
      </w:r>
      <w:r w:rsidR="00A70450">
        <w:rPr>
          <w:kern w:val="16"/>
        </w:rPr>
        <w:t xml:space="preserve"> tested shortly</w:t>
      </w:r>
      <w:r w:rsidR="002245A8">
        <w:rPr>
          <w:kern w:val="16"/>
        </w:rPr>
        <w:t xml:space="preserve"> in 2011</w:t>
      </w:r>
      <w:r w:rsidR="006724C5">
        <w:rPr>
          <w:kern w:val="16"/>
        </w:rPr>
        <w:t>,</w:t>
      </w:r>
      <w:r w:rsidR="00734D8D">
        <w:rPr>
          <w:kern w:val="16"/>
        </w:rPr>
        <w:t xml:space="preserve"> and </w:t>
      </w:r>
      <w:r w:rsidR="00FB35FB">
        <w:rPr>
          <w:kern w:val="16"/>
        </w:rPr>
        <w:t>the sudden blow-up of individual batches at injection are not discussed.</w:t>
      </w:r>
      <w:r w:rsidR="0075258A">
        <w:rPr>
          <w:kern w:val="16"/>
        </w:rPr>
        <w:t xml:space="preserve"> </w:t>
      </w:r>
      <w:r w:rsidR="00A70450">
        <w:rPr>
          <w:kern w:val="16"/>
        </w:rPr>
        <w:t xml:space="preserve">Emittance growth </w:t>
      </w:r>
      <w:r w:rsidR="006724C5">
        <w:rPr>
          <w:kern w:val="16"/>
        </w:rPr>
        <w:t>with colliding beams</w:t>
      </w:r>
      <w:r w:rsidR="00A70450">
        <w:rPr>
          <w:kern w:val="16"/>
        </w:rPr>
        <w:t xml:space="preserve"> is discussed elsewhere [</w:t>
      </w:r>
      <w:r w:rsidR="00C1249C" w:rsidRPr="00C1249C">
        <w:rPr>
          <w:kern w:val="16"/>
        </w:rPr>
        <w:t>1</w:t>
      </w:r>
      <w:r w:rsidR="00A70450">
        <w:rPr>
          <w:kern w:val="16"/>
        </w:rPr>
        <w:t xml:space="preserve">]. </w:t>
      </w:r>
      <w:r w:rsidR="00513765">
        <w:rPr>
          <w:kern w:val="16"/>
        </w:rPr>
        <w:t xml:space="preserve">The analysis in this paper is </w:t>
      </w:r>
      <w:r w:rsidR="0075258A">
        <w:rPr>
          <w:kern w:val="16"/>
        </w:rPr>
        <w:t xml:space="preserve">based on </w:t>
      </w:r>
      <w:r w:rsidR="00513765">
        <w:rPr>
          <w:kern w:val="16"/>
        </w:rPr>
        <w:t xml:space="preserve">data from SPS and LHC </w:t>
      </w:r>
      <w:r w:rsidR="0075258A">
        <w:rPr>
          <w:kern w:val="16"/>
        </w:rPr>
        <w:t>wi</w:t>
      </w:r>
      <w:r w:rsidR="00513765">
        <w:rPr>
          <w:kern w:val="16"/>
        </w:rPr>
        <w:t xml:space="preserve">re scan measurements </w:t>
      </w:r>
      <w:r w:rsidR="00287234">
        <w:rPr>
          <w:kern w:val="16"/>
        </w:rPr>
        <w:t>(</w:t>
      </w:r>
      <w:r w:rsidR="00513765">
        <w:rPr>
          <w:kern w:val="16"/>
        </w:rPr>
        <w:t xml:space="preserve">SPS wire scanners at positions </w:t>
      </w:r>
      <w:r w:rsidR="00287234">
        <w:rPr>
          <w:kern w:val="16"/>
        </w:rPr>
        <w:t>416 and 519</w:t>
      </w:r>
      <w:r w:rsidR="00513765">
        <w:rPr>
          <w:kern w:val="16"/>
        </w:rPr>
        <w:t>)</w:t>
      </w:r>
      <w:r w:rsidR="0075258A">
        <w:rPr>
          <w:kern w:val="16"/>
        </w:rPr>
        <w:t xml:space="preserve">, the LHC synchrotron </w:t>
      </w:r>
      <w:r w:rsidR="00513765">
        <w:rPr>
          <w:kern w:val="16"/>
        </w:rPr>
        <w:t>light monitor and the luminosities</w:t>
      </w:r>
      <w:r w:rsidR="0075258A">
        <w:rPr>
          <w:kern w:val="16"/>
        </w:rPr>
        <w:t xml:space="preserve"> of ATLAS and CMS.</w:t>
      </w:r>
    </w:p>
    <w:p w:rsidR="00F41EB4" w:rsidRDefault="00F41EB4" w:rsidP="008D3099">
      <w:pPr>
        <w:pStyle w:val="BodyTextIndent"/>
        <w:rPr>
          <w:kern w:val="16"/>
        </w:rPr>
      </w:pPr>
    </w:p>
    <w:p w:rsidR="00F41EB4" w:rsidRDefault="00F41EB4" w:rsidP="00F41EB4">
      <w:pPr>
        <w:pStyle w:val="TableCaption"/>
        <w:rPr>
          <w:kern w:val="16"/>
        </w:rPr>
      </w:pPr>
      <w:r>
        <w:rPr>
          <w:kern w:val="16"/>
        </w:rPr>
        <w:t>Table 1: LHC run configuration after June 2011</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tblBorders>
        <w:tblLook w:val="0000"/>
      </w:tblPr>
      <w:tblGrid>
        <w:gridCol w:w="3052"/>
        <w:gridCol w:w="1417"/>
      </w:tblGrid>
      <w:tr w:rsidR="00F41EB4" w:rsidRPr="00E56880" w:rsidTr="009772F9">
        <w:trPr>
          <w:trHeight w:val="241"/>
          <w:jc w:val="center"/>
        </w:trPr>
        <w:tc>
          <w:tcPr>
            <w:tcW w:w="3052" w:type="dxa"/>
            <w:tcBorders>
              <w:top w:val="single" w:sz="12" w:space="0" w:color="auto"/>
              <w:bottom w:val="single" w:sz="4" w:space="0" w:color="auto"/>
              <w:right w:val="single" w:sz="4" w:space="0" w:color="auto"/>
            </w:tcBorders>
          </w:tcPr>
          <w:p w:rsidR="00F41EB4" w:rsidRPr="0098014F" w:rsidRDefault="00F41EB4" w:rsidP="009772F9">
            <w:pPr>
              <w:pStyle w:val="TableCaption"/>
              <w:jc w:val="left"/>
              <w:rPr>
                <w:kern w:val="16"/>
                <w:sz w:val="18"/>
                <w:szCs w:val="18"/>
              </w:rPr>
            </w:pPr>
            <w:r>
              <w:rPr>
                <w:kern w:val="16"/>
                <w:sz w:val="18"/>
                <w:szCs w:val="18"/>
              </w:rPr>
              <w:t>Total  number bunches for fill</w:t>
            </w:r>
          </w:p>
        </w:tc>
        <w:tc>
          <w:tcPr>
            <w:tcW w:w="1417" w:type="dxa"/>
            <w:tcBorders>
              <w:top w:val="single" w:sz="12" w:space="0" w:color="auto"/>
              <w:left w:val="single" w:sz="4" w:space="0" w:color="auto"/>
              <w:bottom w:val="single" w:sz="4" w:space="0" w:color="auto"/>
            </w:tcBorders>
          </w:tcPr>
          <w:p w:rsidR="00F41EB4" w:rsidRPr="003C52DD" w:rsidRDefault="00F41EB4" w:rsidP="009772F9">
            <w:pPr>
              <w:pStyle w:val="TableCaption"/>
              <w:jc w:val="left"/>
              <w:rPr>
                <w:kern w:val="16"/>
                <w:sz w:val="18"/>
                <w:szCs w:val="18"/>
              </w:rPr>
            </w:pPr>
            <w:r>
              <w:rPr>
                <w:kern w:val="16"/>
                <w:sz w:val="18"/>
                <w:szCs w:val="18"/>
              </w:rPr>
              <w:t>1380</w:t>
            </w:r>
          </w:p>
        </w:tc>
      </w:tr>
      <w:tr w:rsidR="00F41EB4" w:rsidRPr="00E56880" w:rsidTr="009772F9">
        <w:trPr>
          <w:jc w:val="center"/>
        </w:trPr>
        <w:tc>
          <w:tcPr>
            <w:tcW w:w="3052" w:type="dxa"/>
            <w:tcBorders>
              <w:top w:val="single" w:sz="4" w:space="0" w:color="auto"/>
              <w:right w:val="single" w:sz="4" w:space="0" w:color="auto"/>
            </w:tcBorders>
          </w:tcPr>
          <w:p w:rsidR="00F41EB4" w:rsidRPr="0098014F" w:rsidRDefault="00F41EB4" w:rsidP="009772F9">
            <w:pPr>
              <w:pStyle w:val="TableCaption"/>
              <w:jc w:val="left"/>
              <w:rPr>
                <w:kern w:val="16"/>
                <w:sz w:val="18"/>
                <w:szCs w:val="18"/>
              </w:rPr>
            </w:pPr>
            <w:r>
              <w:rPr>
                <w:kern w:val="16"/>
                <w:sz w:val="18"/>
                <w:szCs w:val="18"/>
              </w:rPr>
              <w:t>Max number bunches  injected</w:t>
            </w:r>
          </w:p>
        </w:tc>
        <w:tc>
          <w:tcPr>
            <w:tcW w:w="1417" w:type="dxa"/>
            <w:tcBorders>
              <w:top w:val="single" w:sz="4" w:space="0" w:color="auto"/>
              <w:left w:val="single" w:sz="4" w:space="0" w:color="auto"/>
              <w:bottom w:val="single" w:sz="4" w:space="0" w:color="auto"/>
            </w:tcBorders>
          </w:tcPr>
          <w:p w:rsidR="00F41EB4" w:rsidRPr="003C52DD" w:rsidRDefault="00F41EB4" w:rsidP="009772F9">
            <w:pPr>
              <w:pStyle w:val="TableCaption"/>
              <w:jc w:val="left"/>
              <w:rPr>
                <w:kern w:val="16"/>
                <w:sz w:val="18"/>
                <w:szCs w:val="18"/>
              </w:rPr>
            </w:pPr>
            <w:r>
              <w:rPr>
                <w:kern w:val="16"/>
                <w:sz w:val="18"/>
                <w:szCs w:val="18"/>
              </w:rPr>
              <w:t>144</w:t>
            </w:r>
          </w:p>
        </w:tc>
      </w:tr>
      <w:tr w:rsidR="00F41EB4" w:rsidRPr="00E56880" w:rsidTr="009772F9">
        <w:trPr>
          <w:jc w:val="center"/>
        </w:trPr>
        <w:tc>
          <w:tcPr>
            <w:tcW w:w="3052" w:type="dxa"/>
            <w:tcBorders>
              <w:right w:val="single" w:sz="4" w:space="0" w:color="auto"/>
            </w:tcBorders>
          </w:tcPr>
          <w:p w:rsidR="00F41EB4" w:rsidRDefault="00F41EB4" w:rsidP="009772F9">
            <w:pPr>
              <w:pStyle w:val="TableCaption"/>
              <w:jc w:val="left"/>
              <w:rPr>
                <w:kern w:val="16"/>
                <w:sz w:val="18"/>
                <w:szCs w:val="18"/>
              </w:rPr>
            </w:pPr>
            <w:r>
              <w:rPr>
                <w:kern w:val="16"/>
                <w:sz w:val="18"/>
                <w:szCs w:val="18"/>
              </w:rPr>
              <w:t>Bunch spacing [ns]</w:t>
            </w:r>
          </w:p>
        </w:tc>
        <w:tc>
          <w:tcPr>
            <w:tcW w:w="1417" w:type="dxa"/>
            <w:tcBorders>
              <w:top w:val="single" w:sz="4" w:space="0" w:color="auto"/>
              <w:left w:val="single" w:sz="4" w:space="0" w:color="auto"/>
              <w:bottom w:val="single" w:sz="4" w:space="0" w:color="auto"/>
            </w:tcBorders>
          </w:tcPr>
          <w:p w:rsidR="00F41EB4" w:rsidRDefault="00F41EB4" w:rsidP="009772F9">
            <w:pPr>
              <w:pStyle w:val="TableCaption"/>
              <w:jc w:val="left"/>
              <w:rPr>
                <w:kern w:val="16"/>
                <w:sz w:val="18"/>
                <w:szCs w:val="18"/>
              </w:rPr>
            </w:pPr>
            <w:r>
              <w:rPr>
                <w:kern w:val="16"/>
                <w:sz w:val="18"/>
                <w:szCs w:val="18"/>
              </w:rPr>
              <w:t>50</w:t>
            </w:r>
          </w:p>
        </w:tc>
      </w:tr>
      <w:tr w:rsidR="00F41EB4" w:rsidRPr="00E56880" w:rsidTr="009772F9">
        <w:trPr>
          <w:jc w:val="center"/>
        </w:trPr>
        <w:tc>
          <w:tcPr>
            <w:tcW w:w="3052" w:type="dxa"/>
            <w:tcBorders>
              <w:right w:val="single" w:sz="4" w:space="0" w:color="auto"/>
            </w:tcBorders>
          </w:tcPr>
          <w:p w:rsidR="00F41EB4" w:rsidRPr="0098014F" w:rsidRDefault="00F41EB4" w:rsidP="009772F9">
            <w:pPr>
              <w:pStyle w:val="TableCaption"/>
              <w:jc w:val="left"/>
              <w:rPr>
                <w:kern w:val="16"/>
                <w:sz w:val="18"/>
                <w:szCs w:val="18"/>
              </w:rPr>
            </w:pPr>
            <w:r>
              <w:rPr>
                <w:kern w:val="16"/>
                <w:sz w:val="18"/>
                <w:szCs w:val="18"/>
              </w:rPr>
              <w:t>In</w:t>
            </w:r>
            <w:r w:rsidRPr="0098014F">
              <w:rPr>
                <w:kern w:val="16"/>
                <w:sz w:val="18"/>
                <w:szCs w:val="18"/>
              </w:rPr>
              <w:t>t</w:t>
            </w:r>
            <w:r>
              <w:rPr>
                <w:kern w:val="16"/>
                <w:sz w:val="18"/>
                <w:szCs w:val="18"/>
              </w:rPr>
              <w:t>ensity/bunch</w:t>
            </w:r>
          </w:p>
        </w:tc>
        <w:tc>
          <w:tcPr>
            <w:tcW w:w="1417" w:type="dxa"/>
            <w:tcBorders>
              <w:top w:val="single" w:sz="4" w:space="0" w:color="auto"/>
              <w:left w:val="single" w:sz="4" w:space="0" w:color="auto"/>
              <w:bottom w:val="single" w:sz="4" w:space="0" w:color="auto"/>
            </w:tcBorders>
          </w:tcPr>
          <w:p w:rsidR="00F41EB4" w:rsidRPr="003C52DD" w:rsidRDefault="00F41EB4" w:rsidP="009772F9">
            <w:pPr>
              <w:pStyle w:val="TableCaption"/>
              <w:jc w:val="left"/>
              <w:rPr>
                <w:kern w:val="16"/>
                <w:sz w:val="18"/>
                <w:szCs w:val="18"/>
              </w:rPr>
            </w:pPr>
            <w:r>
              <w:rPr>
                <w:kern w:val="16"/>
                <w:sz w:val="18"/>
                <w:szCs w:val="18"/>
              </w:rPr>
              <w:t>1.1 –1.4 ×10</w:t>
            </w:r>
            <w:r w:rsidRPr="000D46C8">
              <w:rPr>
                <w:kern w:val="16"/>
                <w:sz w:val="18"/>
                <w:szCs w:val="18"/>
                <w:vertAlign w:val="superscript"/>
              </w:rPr>
              <w:t>11</w:t>
            </w:r>
          </w:p>
        </w:tc>
      </w:tr>
      <w:tr w:rsidR="00F41EB4" w:rsidRPr="00E56880" w:rsidTr="009772F9">
        <w:trPr>
          <w:jc w:val="center"/>
        </w:trPr>
        <w:tc>
          <w:tcPr>
            <w:tcW w:w="3052" w:type="dxa"/>
            <w:tcBorders>
              <w:right w:val="single" w:sz="4" w:space="0" w:color="auto"/>
            </w:tcBorders>
          </w:tcPr>
          <w:p w:rsidR="00F41EB4" w:rsidRPr="0098014F" w:rsidRDefault="00F41EB4" w:rsidP="009772F9">
            <w:pPr>
              <w:pStyle w:val="TableCaption"/>
              <w:jc w:val="left"/>
              <w:rPr>
                <w:kern w:val="16"/>
                <w:sz w:val="18"/>
                <w:szCs w:val="18"/>
              </w:rPr>
            </w:pPr>
            <w:r>
              <w:rPr>
                <w:kern w:val="16"/>
                <w:sz w:val="18"/>
                <w:szCs w:val="18"/>
              </w:rPr>
              <w:t>Intermediate intensity [bunches]</w:t>
            </w:r>
          </w:p>
        </w:tc>
        <w:tc>
          <w:tcPr>
            <w:tcW w:w="1417" w:type="dxa"/>
            <w:tcBorders>
              <w:top w:val="single" w:sz="4" w:space="0" w:color="auto"/>
              <w:left w:val="single" w:sz="4" w:space="0" w:color="auto"/>
              <w:bottom w:val="single" w:sz="4" w:space="0" w:color="auto"/>
            </w:tcBorders>
          </w:tcPr>
          <w:p w:rsidR="00F41EB4" w:rsidRPr="003C52DD" w:rsidRDefault="00F41EB4" w:rsidP="009772F9">
            <w:pPr>
              <w:pStyle w:val="TableCaption"/>
              <w:jc w:val="left"/>
              <w:rPr>
                <w:kern w:val="16"/>
                <w:sz w:val="18"/>
                <w:szCs w:val="18"/>
              </w:rPr>
            </w:pPr>
            <w:r>
              <w:rPr>
                <w:kern w:val="16"/>
                <w:sz w:val="18"/>
                <w:szCs w:val="18"/>
              </w:rPr>
              <w:t>12</w:t>
            </w:r>
          </w:p>
        </w:tc>
      </w:tr>
      <w:tr w:rsidR="00F41EB4" w:rsidRPr="00E56880" w:rsidTr="009772F9">
        <w:trPr>
          <w:jc w:val="center"/>
        </w:trPr>
        <w:tc>
          <w:tcPr>
            <w:tcW w:w="3052" w:type="dxa"/>
            <w:tcBorders>
              <w:right w:val="single" w:sz="4" w:space="0" w:color="auto"/>
            </w:tcBorders>
          </w:tcPr>
          <w:p w:rsidR="00F41EB4" w:rsidRDefault="00F41EB4" w:rsidP="009772F9">
            <w:pPr>
              <w:pStyle w:val="TableCaption"/>
              <w:jc w:val="left"/>
              <w:rPr>
                <w:kern w:val="16"/>
                <w:sz w:val="18"/>
                <w:szCs w:val="18"/>
              </w:rPr>
            </w:pPr>
            <w:r>
              <w:rPr>
                <w:kern w:val="16"/>
                <w:sz w:val="18"/>
                <w:szCs w:val="18"/>
              </w:rPr>
              <w:t>Number  of injections per fill and beam</w:t>
            </w:r>
          </w:p>
        </w:tc>
        <w:tc>
          <w:tcPr>
            <w:tcW w:w="1417" w:type="dxa"/>
            <w:tcBorders>
              <w:top w:val="single" w:sz="4" w:space="0" w:color="auto"/>
              <w:left w:val="single" w:sz="4" w:space="0" w:color="auto"/>
              <w:bottom w:val="single" w:sz="4" w:space="0" w:color="auto"/>
            </w:tcBorders>
          </w:tcPr>
          <w:p w:rsidR="00F41EB4" w:rsidRDefault="00F41EB4" w:rsidP="009772F9">
            <w:pPr>
              <w:pStyle w:val="TableCaption"/>
              <w:jc w:val="left"/>
              <w:rPr>
                <w:kern w:val="16"/>
                <w:sz w:val="18"/>
                <w:szCs w:val="18"/>
              </w:rPr>
            </w:pPr>
            <w:r>
              <w:rPr>
                <w:kern w:val="16"/>
                <w:sz w:val="18"/>
                <w:szCs w:val="18"/>
              </w:rPr>
              <w:t>12 (+1 pilot)</w:t>
            </w:r>
          </w:p>
        </w:tc>
      </w:tr>
      <w:tr w:rsidR="00F41EB4" w:rsidRPr="00E56880" w:rsidTr="009772F9">
        <w:trPr>
          <w:jc w:val="center"/>
        </w:trPr>
        <w:tc>
          <w:tcPr>
            <w:tcW w:w="3052" w:type="dxa"/>
            <w:tcBorders>
              <w:right w:val="single" w:sz="4" w:space="0" w:color="auto"/>
            </w:tcBorders>
          </w:tcPr>
          <w:p w:rsidR="00F41EB4" w:rsidRDefault="00F41EB4" w:rsidP="009772F9">
            <w:pPr>
              <w:pStyle w:val="TableCaption"/>
              <w:jc w:val="left"/>
              <w:rPr>
                <w:kern w:val="16"/>
                <w:sz w:val="18"/>
                <w:szCs w:val="18"/>
              </w:rPr>
            </w:pPr>
            <w:r>
              <w:rPr>
                <w:kern w:val="16"/>
                <w:sz w:val="18"/>
                <w:szCs w:val="18"/>
              </w:rPr>
              <w:t>Filling time</w:t>
            </w:r>
          </w:p>
        </w:tc>
        <w:tc>
          <w:tcPr>
            <w:tcW w:w="1417" w:type="dxa"/>
            <w:tcBorders>
              <w:top w:val="single" w:sz="4" w:space="0" w:color="auto"/>
              <w:left w:val="single" w:sz="4" w:space="0" w:color="auto"/>
              <w:bottom w:val="single" w:sz="4" w:space="0" w:color="auto"/>
            </w:tcBorders>
          </w:tcPr>
          <w:p w:rsidR="00F41EB4" w:rsidRPr="00783B88" w:rsidRDefault="00F41EB4" w:rsidP="009772F9">
            <w:pPr>
              <w:pStyle w:val="TableCaption"/>
              <w:jc w:val="left"/>
              <w:rPr>
                <w:b/>
                <w:kern w:val="16"/>
                <w:sz w:val="18"/>
                <w:szCs w:val="18"/>
              </w:rPr>
            </w:pPr>
            <w:r w:rsidRPr="00783B88">
              <w:rPr>
                <w:b/>
                <w:kern w:val="16"/>
                <w:sz w:val="18"/>
                <w:szCs w:val="18"/>
              </w:rPr>
              <w:t xml:space="preserve">~ </w:t>
            </w:r>
            <w:r>
              <w:rPr>
                <w:b/>
                <w:kern w:val="16"/>
                <w:sz w:val="18"/>
                <w:szCs w:val="18"/>
              </w:rPr>
              <w:t xml:space="preserve"> </w:t>
            </w:r>
            <w:r w:rsidRPr="003546C2">
              <w:rPr>
                <w:kern w:val="16"/>
                <w:sz w:val="18"/>
                <w:szCs w:val="18"/>
              </w:rPr>
              <w:t>20 min</w:t>
            </w:r>
          </w:p>
        </w:tc>
      </w:tr>
      <w:tr w:rsidR="00F41EB4" w:rsidRPr="00E56880" w:rsidTr="009772F9">
        <w:trPr>
          <w:jc w:val="center"/>
        </w:trPr>
        <w:tc>
          <w:tcPr>
            <w:tcW w:w="3052" w:type="dxa"/>
            <w:tcBorders>
              <w:right w:val="single" w:sz="4" w:space="0" w:color="auto"/>
            </w:tcBorders>
          </w:tcPr>
          <w:p w:rsidR="00F41EB4" w:rsidRDefault="00F41EB4" w:rsidP="009772F9">
            <w:pPr>
              <w:pStyle w:val="TableCaption"/>
              <w:jc w:val="left"/>
              <w:rPr>
                <w:kern w:val="16"/>
                <w:sz w:val="18"/>
                <w:szCs w:val="18"/>
              </w:rPr>
            </w:pPr>
            <w:r>
              <w:rPr>
                <w:kern w:val="16"/>
                <w:sz w:val="18"/>
                <w:szCs w:val="18"/>
              </w:rPr>
              <w:t>Number collisions (ATLAS+CMS/ALICE/LHCb)</w:t>
            </w:r>
          </w:p>
        </w:tc>
        <w:tc>
          <w:tcPr>
            <w:tcW w:w="1417" w:type="dxa"/>
            <w:tcBorders>
              <w:top w:val="single" w:sz="4" w:space="0" w:color="auto"/>
              <w:left w:val="single" w:sz="4" w:space="0" w:color="auto"/>
              <w:bottom w:val="single" w:sz="4" w:space="0" w:color="auto"/>
            </w:tcBorders>
          </w:tcPr>
          <w:p w:rsidR="00F41EB4" w:rsidRPr="00CC77E3" w:rsidRDefault="00F41EB4" w:rsidP="009772F9">
            <w:pPr>
              <w:pStyle w:val="TableCaption"/>
              <w:jc w:val="left"/>
              <w:rPr>
                <w:kern w:val="16"/>
                <w:sz w:val="18"/>
                <w:szCs w:val="18"/>
              </w:rPr>
            </w:pPr>
            <w:r>
              <w:rPr>
                <w:kern w:val="16"/>
                <w:sz w:val="18"/>
                <w:szCs w:val="18"/>
              </w:rPr>
              <w:t>1318/39</w:t>
            </w:r>
            <w:r w:rsidRPr="00CC77E3">
              <w:rPr>
                <w:kern w:val="16"/>
                <w:sz w:val="18"/>
                <w:szCs w:val="18"/>
              </w:rPr>
              <w:t>/1296</w:t>
            </w:r>
          </w:p>
        </w:tc>
      </w:tr>
      <w:tr w:rsidR="00F41EB4" w:rsidRPr="00E56880" w:rsidTr="009772F9">
        <w:trPr>
          <w:jc w:val="center"/>
        </w:trPr>
        <w:tc>
          <w:tcPr>
            <w:tcW w:w="3052" w:type="dxa"/>
            <w:tcBorders>
              <w:right w:val="single" w:sz="4" w:space="0" w:color="auto"/>
            </w:tcBorders>
          </w:tcPr>
          <w:p w:rsidR="00F41EB4" w:rsidRDefault="00F41EB4" w:rsidP="009772F9">
            <w:pPr>
              <w:pStyle w:val="TableCaption"/>
              <w:jc w:val="left"/>
              <w:rPr>
                <w:kern w:val="16"/>
                <w:sz w:val="18"/>
                <w:szCs w:val="18"/>
              </w:rPr>
            </w:pPr>
            <w:r>
              <w:rPr>
                <w:kern w:val="16"/>
                <w:sz w:val="18"/>
                <w:szCs w:val="18"/>
              </w:rPr>
              <w:t>Collision energy per beam</w:t>
            </w:r>
          </w:p>
        </w:tc>
        <w:tc>
          <w:tcPr>
            <w:tcW w:w="1417" w:type="dxa"/>
            <w:tcBorders>
              <w:top w:val="single" w:sz="4" w:space="0" w:color="auto"/>
              <w:left w:val="single" w:sz="4" w:space="0" w:color="auto"/>
              <w:bottom w:val="single" w:sz="4" w:space="0" w:color="auto"/>
            </w:tcBorders>
          </w:tcPr>
          <w:p w:rsidR="00F41EB4" w:rsidRPr="00CC77E3" w:rsidRDefault="00F41EB4" w:rsidP="009772F9">
            <w:pPr>
              <w:pStyle w:val="TableCaption"/>
              <w:jc w:val="left"/>
              <w:rPr>
                <w:kern w:val="16"/>
                <w:sz w:val="18"/>
                <w:szCs w:val="18"/>
              </w:rPr>
            </w:pPr>
            <w:r w:rsidRPr="00CC77E3">
              <w:rPr>
                <w:kern w:val="16"/>
                <w:sz w:val="18"/>
                <w:szCs w:val="18"/>
              </w:rPr>
              <w:t>3.5 TeV</w:t>
            </w:r>
          </w:p>
        </w:tc>
      </w:tr>
      <w:tr w:rsidR="00F41EB4" w:rsidRPr="00E56880" w:rsidTr="009772F9">
        <w:trPr>
          <w:jc w:val="center"/>
        </w:trPr>
        <w:tc>
          <w:tcPr>
            <w:tcW w:w="3052" w:type="dxa"/>
            <w:tcBorders>
              <w:right w:val="single" w:sz="4" w:space="0" w:color="auto"/>
            </w:tcBorders>
          </w:tcPr>
          <w:p w:rsidR="00F41EB4" w:rsidRDefault="00F41EB4" w:rsidP="009772F9">
            <w:pPr>
              <w:pStyle w:val="TableCaption"/>
              <w:jc w:val="left"/>
              <w:rPr>
                <w:kern w:val="16"/>
                <w:sz w:val="18"/>
                <w:szCs w:val="18"/>
              </w:rPr>
            </w:pPr>
            <w:r>
              <w:rPr>
                <w:kern w:val="16"/>
                <w:sz w:val="18"/>
                <w:szCs w:val="18"/>
              </w:rPr>
              <w:t>Max. luminosity achieved [cm</w:t>
            </w:r>
            <w:r w:rsidRPr="00FF1587">
              <w:rPr>
                <w:kern w:val="16"/>
                <w:sz w:val="18"/>
                <w:szCs w:val="18"/>
                <w:vertAlign w:val="superscript"/>
              </w:rPr>
              <w:t>-2</w:t>
            </w:r>
            <w:r>
              <w:rPr>
                <w:kern w:val="16"/>
                <w:sz w:val="18"/>
                <w:szCs w:val="18"/>
              </w:rPr>
              <w:t>s</w:t>
            </w:r>
            <w:r w:rsidRPr="00FF1587">
              <w:rPr>
                <w:kern w:val="16"/>
                <w:sz w:val="18"/>
                <w:szCs w:val="18"/>
                <w:vertAlign w:val="superscript"/>
              </w:rPr>
              <w:t>-1</w:t>
            </w:r>
            <w:r>
              <w:rPr>
                <w:kern w:val="16"/>
                <w:sz w:val="18"/>
                <w:szCs w:val="18"/>
              </w:rPr>
              <w:t>]</w:t>
            </w:r>
          </w:p>
        </w:tc>
        <w:tc>
          <w:tcPr>
            <w:tcW w:w="1417" w:type="dxa"/>
            <w:tcBorders>
              <w:top w:val="single" w:sz="4" w:space="0" w:color="auto"/>
              <w:left w:val="single" w:sz="4" w:space="0" w:color="auto"/>
              <w:bottom w:val="single" w:sz="12" w:space="0" w:color="auto"/>
            </w:tcBorders>
          </w:tcPr>
          <w:p w:rsidR="00F41EB4" w:rsidRPr="00FF1587" w:rsidRDefault="00F41EB4" w:rsidP="009772F9">
            <w:pPr>
              <w:pStyle w:val="TableCaption"/>
              <w:jc w:val="left"/>
              <w:rPr>
                <w:kern w:val="16"/>
                <w:sz w:val="18"/>
                <w:szCs w:val="18"/>
              </w:rPr>
            </w:pPr>
            <w:r>
              <w:rPr>
                <w:kern w:val="16"/>
                <w:sz w:val="18"/>
                <w:szCs w:val="18"/>
              </w:rPr>
              <w:t>3.6</w:t>
            </w:r>
            <w:r w:rsidRPr="00FF1587">
              <w:rPr>
                <w:kern w:val="16"/>
                <w:sz w:val="18"/>
                <w:szCs w:val="18"/>
              </w:rPr>
              <w:t xml:space="preserve"> × 10</w:t>
            </w:r>
            <w:r w:rsidRPr="00FF1587">
              <w:rPr>
                <w:kern w:val="16"/>
                <w:sz w:val="18"/>
                <w:szCs w:val="18"/>
                <w:vertAlign w:val="superscript"/>
              </w:rPr>
              <w:t>33</w:t>
            </w:r>
          </w:p>
        </w:tc>
      </w:tr>
    </w:tbl>
    <w:p w:rsidR="00F41EB4" w:rsidRDefault="00F41EB4" w:rsidP="008D3099">
      <w:pPr>
        <w:pStyle w:val="BodyTextIndent"/>
        <w:rPr>
          <w:kern w:val="16"/>
        </w:rPr>
      </w:pPr>
    </w:p>
    <w:p w:rsidR="00165665" w:rsidRDefault="008D3099" w:rsidP="00165665">
      <w:pPr>
        <w:pStyle w:val="Heading3"/>
        <w:rPr>
          <w:kern w:val="16"/>
        </w:rPr>
      </w:pPr>
      <w:r>
        <w:rPr>
          <w:kern w:val="16"/>
        </w:rPr>
        <w:lastRenderedPageBreak/>
        <w:t>Limitations</w:t>
      </w:r>
    </w:p>
    <w:p w:rsidR="00DE4821" w:rsidRDefault="008D3099" w:rsidP="00165665">
      <w:pPr>
        <w:pStyle w:val="BodyTextIndent"/>
        <w:rPr>
          <w:kern w:val="16"/>
        </w:rPr>
      </w:pPr>
      <w:r>
        <w:rPr>
          <w:kern w:val="16"/>
        </w:rPr>
        <w:t xml:space="preserve">The emittances of LHC </w:t>
      </w:r>
      <w:r w:rsidR="006724C5">
        <w:rPr>
          <w:kern w:val="16"/>
        </w:rPr>
        <w:t xml:space="preserve">50 ns beams are routinely measured for the intermediate intensity of </w:t>
      </w:r>
      <w:r>
        <w:rPr>
          <w:kern w:val="16"/>
        </w:rPr>
        <w:t xml:space="preserve">12 </w:t>
      </w:r>
      <w:r w:rsidR="006724C5">
        <w:rPr>
          <w:kern w:val="16"/>
        </w:rPr>
        <w:t>bunches</w:t>
      </w:r>
      <w:r w:rsidR="00947007">
        <w:rPr>
          <w:kern w:val="16"/>
        </w:rPr>
        <w:t>,</w:t>
      </w:r>
      <w:r w:rsidR="006724C5">
        <w:rPr>
          <w:kern w:val="16"/>
        </w:rPr>
        <w:t xml:space="preserve"> which is injected first</w:t>
      </w:r>
      <w:r w:rsidR="00947007">
        <w:rPr>
          <w:kern w:val="16"/>
        </w:rPr>
        <w:t>,</w:t>
      </w:r>
      <w:r w:rsidR="006724C5">
        <w:rPr>
          <w:kern w:val="16"/>
        </w:rPr>
        <w:t xml:space="preserve"> </w:t>
      </w:r>
      <w:r>
        <w:rPr>
          <w:kern w:val="16"/>
        </w:rPr>
        <w:t>and 144 bunches</w:t>
      </w:r>
      <w:r w:rsidR="006724C5">
        <w:rPr>
          <w:kern w:val="16"/>
        </w:rPr>
        <w:t>, the full 50 ns SPS batch, at the SPS flattop before an LHC fill starts</w:t>
      </w:r>
      <w:r>
        <w:rPr>
          <w:kern w:val="16"/>
        </w:rPr>
        <w:t xml:space="preserve">. </w:t>
      </w:r>
      <w:r w:rsidR="00947007">
        <w:rPr>
          <w:kern w:val="16"/>
        </w:rPr>
        <w:t>There</w:t>
      </w:r>
      <w:r w:rsidR="006724C5">
        <w:rPr>
          <w:kern w:val="16"/>
        </w:rPr>
        <w:t xml:space="preserve"> are however</w:t>
      </w:r>
      <w:r w:rsidR="00947007">
        <w:rPr>
          <w:kern w:val="16"/>
        </w:rPr>
        <w:t xml:space="preserve"> no</w:t>
      </w:r>
      <w:r w:rsidR="006724C5">
        <w:rPr>
          <w:kern w:val="16"/>
        </w:rPr>
        <w:t xml:space="preserve"> </w:t>
      </w:r>
      <w:r w:rsidR="00947007">
        <w:rPr>
          <w:kern w:val="16"/>
        </w:rPr>
        <w:t>routine</w:t>
      </w:r>
      <w:r w:rsidR="006724C5">
        <w:rPr>
          <w:kern w:val="16"/>
        </w:rPr>
        <w:t xml:space="preserve"> </w:t>
      </w:r>
      <w:r w:rsidR="00947007">
        <w:rPr>
          <w:kern w:val="16"/>
        </w:rPr>
        <w:t>measurements for the LHC transfers</w:t>
      </w:r>
      <w:r w:rsidR="00DE4821">
        <w:rPr>
          <w:kern w:val="16"/>
        </w:rPr>
        <w:t xml:space="preserve">. Comparisons of SPS and LHC emittances at injection are thus not necessarily comparing emittances of the same beam. </w:t>
      </w:r>
    </w:p>
    <w:p w:rsidR="00DE4821" w:rsidRDefault="00DE4821" w:rsidP="00165665">
      <w:pPr>
        <w:pStyle w:val="BodyTextIndent"/>
        <w:rPr>
          <w:kern w:val="16"/>
        </w:rPr>
      </w:pPr>
      <w:r>
        <w:rPr>
          <w:kern w:val="16"/>
        </w:rPr>
        <w:t xml:space="preserve">Especially in the injectors the required wire scanner settings for the PM and filters depend strongly on various parameters of the beam and need to be adjusted carefully. The fit quality also needs scrutinized before trusting the results. </w:t>
      </w:r>
      <w:r w:rsidR="00114114">
        <w:rPr>
          <w:kern w:val="16"/>
        </w:rPr>
        <w:t xml:space="preserve"> </w:t>
      </w:r>
      <w:r>
        <w:rPr>
          <w:kern w:val="16"/>
        </w:rPr>
        <w:t xml:space="preserve">As a consequence </w:t>
      </w:r>
      <w:r w:rsidR="00114114">
        <w:rPr>
          <w:kern w:val="16"/>
        </w:rPr>
        <w:t xml:space="preserve">fairly large </w:t>
      </w:r>
      <w:r>
        <w:rPr>
          <w:kern w:val="16"/>
        </w:rPr>
        <w:t>shot-by-shot variations</w:t>
      </w:r>
      <w:r w:rsidR="00114114">
        <w:rPr>
          <w:kern w:val="16"/>
        </w:rPr>
        <w:t xml:space="preserve"> on the measured emittance</w:t>
      </w:r>
      <w:r>
        <w:rPr>
          <w:kern w:val="16"/>
        </w:rPr>
        <w:t xml:space="preserve"> results are observed which do not seem to correspond to the physical variations. </w:t>
      </w:r>
      <w:r w:rsidR="00114114">
        <w:rPr>
          <w:kern w:val="16"/>
        </w:rPr>
        <w:t xml:space="preserve"> An extreme example is shown</w:t>
      </w:r>
      <w:r>
        <w:rPr>
          <w:kern w:val="16"/>
        </w:rPr>
        <w:t xml:space="preserve"> in Fig. </w:t>
      </w:r>
      <w:r w:rsidR="002F2083">
        <w:rPr>
          <w:kern w:val="16"/>
        </w:rPr>
        <w:t>1</w:t>
      </w:r>
      <w:r w:rsidR="00114114">
        <w:rPr>
          <w:kern w:val="16"/>
        </w:rPr>
        <w:t>.</w:t>
      </w:r>
      <w:r w:rsidR="002F2083">
        <w:rPr>
          <w:kern w:val="16"/>
        </w:rPr>
        <w:t xml:space="preserve"> </w:t>
      </w:r>
    </w:p>
    <w:p w:rsidR="008D3099" w:rsidRDefault="00114114" w:rsidP="00165665">
      <w:pPr>
        <w:pStyle w:val="BodyTextIndent"/>
        <w:rPr>
          <w:kern w:val="16"/>
        </w:rPr>
      </w:pPr>
      <w:r>
        <w:rPr>
          <w:kern w:val="16"/>
        </w:rPr>
        <w:t xml:space="preserve"> </w:t>
      </w:r>
      <w:r>
        <w:rPr>
          <w:noProof/>
          <w:kern w:val="16"/>
          <w:lang w:val="en-US"/>
        </w:rPr>
        <w:drawing>
          <wp:inline distT="0" distB="0" distL="0" distR="0">
            <wp:extent cx="2968625" cy="1979295"/>
            <wp:effectExtent l="19050" t="0" r="3175" b="0"/>
            <wp:docPr id="6" name="Picture 5" descr="SPSEmittancSan-sp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EmittancSan-spread.png"/>
                    <pic:cNvPicPr/>
                  </pic:nvPicPr>
                  <pic:blipFill>
                    <a:blip r:embed="rId8" cstate="print"/>
                    <a:stretch>
                      <a:fillRect/>
                    </a:stretch>
                  </pic:blipFill>
                  <pic:spPr>
                    <a:xfrm>
                      <a:off x="0" y="0"/>
                      <a:ext cx="2968625" cy="1979295"/>
                    </a:xfrm>
                    <a:prstGeom prst="rect">
                      <a:avLst/>
                    </a:prstGeom>
                  </pic:spPr>
                </pic:pic>
              </a:graphicData>
            </a:graphic>
          </wp:inline>
        </w:drawing>
      </w:r>
    </w:p>
    <w:p w:rsidR="00114114" w:rsidRDefault="009518F3" w:rsidP="000B6B24">
      <w:pPr>
        <w:pStyle w:val="BodyTextIndent"/>
        <w:jc w:val="center"/>
        <w:rPr>
          <w:kern w:val="16"/>
        </w:rPr>
      </w:pPr>
      <w:r>
        <w:rPr>
          <w:kern w:val="16"/>
        </w:rPr>
        <w:t>Figure 1</w:t>
      </w:r>
      <w:r w:rsidR="00114114">
        <w:rPr>
          <w:kern w:val="16"/>
        </w:rPr>
        <w:t>: Emittance measurements in the SPS with 144 bunches, horizontal plane. Preparation of fill 2240. The spread of the obtai</w:t>
      </w:r>
      <w:r w:rsidR="00DE4821">
        <w:rPr>
          <w:kern w:val="16"/>
        </w:rPr>
        <w:t>ned values is larger than 50 %.</w:t>
      </w:r>
    </w:p>
    <w:p w:rsidR="00B37367" w:rsidRDefault="00B37367" w:rsidP="00165665">
      <w:pPr>
        <w:pStyle w:val="BodyTextIndent"/>
        <w:rPr>
          <w:kern w:val="16"/>
        </w:rPr>
      </w:pPr>
    </w:p>
    <w:p w:rsidR="00B37367" w:rsidRDefault="00254A3C" w:rsidP="00165665">
      <w:pPr>
        <w:pStyle w:val="BodyTextIndent"/>
        <w:rPr>
          <w:kern w:val="16"/>
        </w:rPr>
      </w:pPr>
      <w:r>
        <w:rPr>
          <w:kern w:val="16"/>
        </w:rPr>
        <w:t xml:space="preserve">For every </w:t>
      </w:r>
      <w:r w:rsidR="00757A2D">
        <w:rPr>
          <w:kern w:val="16"/>
        </w:rPr>
        <w:t xml:space="preserve">fill </w:t>
      </w:r>
      <w:r w:rsidR="00B37367">
        <w:rPr>
          <w:kern w:val="16"/>
        </w:rPr>
        <w:t>the emittances of the first 12 bunch batch is mea</w:t>
      </w:r>
      <w:r w:rsidR="002F2083">
        <w:rPr>
          <w:kern w:val="16"/>
        </w:rPr>
        <w:t xml:space="preserve">sured with </w:t>
      </w:r>
      <w:r w:rsidR="00757A2D">
        <w:rPr>
          <w:kern w:val="16"/>
        </w:rPr>
        <w:t xml:space="preserve">the </w:t>
      </w:r>
      <w:r>
        <w:rPr>
          <w:kern w:val="16"/>
        </w:rPr>
        <w:t xml:space="preserve">LHC </w:t>
      </w:r>
      <w:r w:rsidR="00757A2D">
        <w:rPr>
          <w:kern w:val="16"/>
        </w:rPr>
        <w:t>wire scanners</w:t>
      </w:r>
      <w:r w:rsidR="002F2083">
        <w:rPr>
          <w:kern w:val="16"/>
        </w:rPr>
        <w:t>.</w:t>
      </w:r>
      <w:r w:rsidR="00233D51">
        <w:rPr>
          <w:kern w:val="16"/>
        </w:rPr>
        <w:t xml:space="preserve"> The first 144 bunch batch </w:t>
      </w:r>
      <w:r w:rsidR="002F2083">
        <w:rPr>
          <w:kern w:val="16"/>
        </w:rPr>
        <w:t xml:space="preserve">however </w:t>
      </w:r>
      <w:r w:rsidR="00233D51">
        <w:rPr>
          <w:kern w:val="16"/>
        </w:rPr>
        <w:t xml:space="preserve">is </w:t>
      </w:r>
      <w:r w:rsidR="002F2083">
        <w:rPr>
          <w:kern w:val="16"/>
        </w:rPr>
        <w:t xml:space="preserve">only </w:t>
      </w:r>
      <w:r w:rsidR="00233D51">
        <w:rPr>
          <w:kern w:val="16"/>
        </w:rPr>
        <w:t>rarely measured</w:t>
      </w:r>
      <w:r w:rsidR="002F2083">
        <w:rPr>
          <w:kern w:val="16"/>
        </w:rPr>
        <w:t>. Wire scans beyond</w:t>
      </w:r>
      <w:r w:rsidR="00233D51">
        <w:rPr>
          <w:kern w:val="16"/>
        </w:rPr>
        <w:t xml:space="preserve"> </w:t>
      </w:r>
      <w:r w:rsidR="002F2083">
        <w:rPr>
          <w:kern w:val="16"/>
        </w:rPr>
        <w:t xml:space="preserve">an intensity of </w:t>
      </w:r>
      <w:r w:rsidR="00233D51">
        <w:rPr>
          <w:kern w:val="16"/>
        </w:rPr>
        <w:t xml:space="preserve">2.5 </w:t>
      </w:r>
      <w:r w:rsidR="002F2083">
        <w:rPr>
          <w:kern w:val="16"/>
        </w:rPr>
        <w:t>×</w:t>
      </w:r>
      <w:r w:rsidR="00233D51">
        <w:rPr>
          <w:kern w:val="16"/>
        </w:rPr>
        <w:t>10</w:t>
      </w:r>
      <w:r w:rsidR="00233D51" w:rsidRPr="002F2083">
        <w:rPr>
          <w:kern w:val="16"/>
          <w:vertAlign w:val="superscript"/>
        </w:rPr>
        <w:t>13</w:t>
      </w:r>
      <w:r w:rsidR="00233D51">
        <w:rPr>
          <w:kern w:val="16"/>
        </w:rPr>
        <w:t xml:space="preserve"> p+</w:t>
      </w:r>
      <w:r w:rsidR="002F2083">
        <w:rPr>
          <w:kern w:val="16"/>
        </w:rPr>
        <w:t xml:space="preserve"> are not allowed to protect the wires and avoid quenches</w:t>
      </w:r>
      <w:r w:rsidR="00233D51">
        <w:rPr>
          <w:kern w:val="16"/>
        </w:rPr>
        <w:t>. There are no LHC wire scan measurements for physics beams at 3.5 TeV.</w:t>
      </w:r>
      <w:r w:rsidR="00B37367">
        <w:rPr>
          <w:kern w:val="16"/>
        </w:rPr>
        <w:t xml:space="preserve"> </w:t>
      </w:r>
    </w:p>
    <w:p w:rsidR="00354E7B" w:rsidRDefault="00354E7B" w:rsidP="00165665">
      <w:pPr>
        <w:pStyle w:val="BodyTextIndent"/>
        <w:rPr>
          <w:kern w:val="16"/>
        </w:rPr>
      </w:pPr>
      <w:r>
        <w:rPr>
          <w:kern w:val="16"/>
        </w:rPr>
        <w:t>The LHC synchrotron light monitor (BSRT) continuously</w:t>
      </w:r>
      <w:r w:rsidR="00C557AF">
        <w:rPr>
          <w:kern w:val="16"/>
        </w:rPr>
        <w:t xml:space="preserve"> measures </w:t>
      </w:r>
      <w:r>
        <w:rPr>
          <w:kern w:val="16"/>
        </w:rPr>
        <w:t>bunch-by-bunch emittance</w:t>
      </w:r>
      <w:r w:rsidR="00C557AF">
        <w:rPr>
          <w:kern w:val="16"/>
        </w:rPr>
        <w:t>s</w:t>
      </w:r>
      <w:r>
        <w:rPr>
          <w:kern w:val="16"/>
        </w:rPr>
        <w:t>. In 2011</w:t>
      </w:r>
      <w:r w:rsidR="00F06165">
        <w:rPr>
          <w:kern w:val="16"/>
        </w:rPr>
        <w:t>,</w:t>
      </w:r>
      <w:r>
        <w:rPr>
          <w:kern w:val="16"/>
        </w:rPr>
        <w:t xml:space="preserve"> integration times of 3 s per bunch were required</w:t>
      </w:r>
      <w:r w:rsidR="00C557AF">
        <w:rPr>
          <w:kern w:val="16"/>
        </w:rPr>
        <w:t xml:space="preserve"> for good quality data. Measuring the emittance of every bunch once for 1380 bunches </w:t>
      </w:r>
      <w:r w:rsidR="00C7621E">
        <w:rPr>
          <w:kern w:val="16"/>
        </w:rPr>
        <w:t xml:space="preserve">took </w:t>
      </w:r>
      <w:r w:rsidR="000903C3">
        <w:rPr>
          <w:kern w:val="16"/>
        </w:rPr>
        <w:t xml:space="preserve">therefore </w:t>
      </w:r>
      <w:r w:rsidR="00C7621E">
        <w:rPr>
          <w:kern w:val="16"/>
        </w:rPr>
        <w:t>69 minutes.</w:t>
      </w:r>
      <w:r w:rsidR="000903C3">
        <w:rPr>
          <w:kern w:val="16"/>
        </w:rPr>
        <w:t xml:space="preserve"> </w:t>
      </w:r>
      <w:r w:rsidR="00FC65AD">
        <w:rPr>
          <w:kern w:val="16"/>
        </w:rPr>
        <w:t>Obviously t</w:t>
      </w:r>
      <w:r w:rsidR="003B4B46">
        <w:rPr>
          <w:kern w:val="16"/>
        </w:rPr>
        <w:t>he scan time was too long to follow the emittance evolution of a single bunch through the cycle and associate growth with s</w:t>
      </w:r>
      <w:r w:rsidR="007445F0">
        <w:rPr>
          <w:kern w:val="16"/>
        </w:rPr>
        <w:t>pecific parts of the cycle. For example</w:t>
      </w:r>
      <w:r w:rsidR="003B4B46">
        <w:rPr>
          <w:kern w:val="16"/>
        </w:rPr>
        <w:t xml:space="preserve"> the LHC ramp in 2011 took 17 minutes. Dedicated fills with a limited number of bunches or the </w:t>
      </w:r>
      <w:r w:rsidR="003B4B46">
        <w:rPr>
          <w:kern w:val="16"/>
        </w:rPr>
        <w:lastRenderedPageBreak/>
        <w:t xml:space="preserve">BSRTs gated over a few bunches were hence used to study emittance evolution with these devices. </w:t>
      </w:r>
      <w:r w:rsidR="00C7621E">
        <w:rPr>
          <w:kern w:val="16"/>
        </w:rPr>
        <w:t xml:space="preserve"> </w:t>
      </w:r>
    </w:p>
    <w:p w:rsidR="005A5A94" w:rsidRDefault="000903C3" w:rsidP="00611FE6">
      <w:pPr>
        <w:pStyle w:val="BodyTextIndent"/>
        <w:rPr>
          <w:kern w:val="16"/>
        </w:rPr>
      </w:pPr>
      <w:r>
        <w:rPr>
          <w:kern w:val="16"/>
        </w:rPr>
        <w:t xml:space="preserve">Another issue with </w:t>
      </w:r>
      <w:r w:rsidR="005A5A94">
        <w:rPr>
          <w:kern w:val="16"/>
        </w:rPr>
        <w:t>the beam size</w:t>
      </w:r>
      <w:r>
        <w:rPr>
          <w:kern w:val="16"/>
        </w:rPr>
        <w:t xml:space="preserve"> values obtained from synchrotron light monitors is the absolute calibration.</w:t>
      </w:r>
      <w:r w:rsidR="005A5A94">
        <w:rPr>
          <w:kern w:val="16"/>
        </w:rPr>
        <w:t xml:space="preserve"> The BSRTs are calibrated using lamps and calibration targets. Nevertheless energy dependent effects like aberration and diffraction make an absolute calibration difficult. Wire scanners are used to calculate calibration factors at a given energy. For the time being the BSRTs are mainly used for relative comparisons at constant energy.</w:t>
      </w:r>
      <w:r>
        <w:rPr>
          <w:kern w:val="16"/>
        </w:rPr>
        <w:t xml:space="preserve">  </w:t>
      </w:r>
      <w:r w:rsidR="00536873">
        <w:rPr>
          <w:kern w:val="16"/>
        </w:rPr>
        <w:t xml:space="preserve">An example of the obtainable data during </w:t>
      </w:r>
      <w:r w:rsidR="00D15509">
        <w:rPr>
          <w:kern w:val="16"/>
        </w:rPr>
        <w:t>the LHC cycle is shown in Fig. 2</w:t>
      </w:r>
      <w:r w:rsidR="00536873">
        <w:rPr>
          <w:kern w:val="16"/>
        </w:rPr>
        <w:t>.</w:t>
      </w:r>
    </w:p>
    <w:p w:rsidR="0008529C" w:rsidRDefault="00611FE6" w:rsidP="0079125D">
      <w:pPr>
        <w:pStyle w:val="BodyTextIndent"/>
        <w:ind w:firstLine="0"/>
        <w:jc w:val="center"/>
        <w:rPr>
          <w:kern w:val="16"/>
        </w:rPr>
      </w:pPr>
      <w:r>
        <w:rPr>
          <w:noProof/>
          <w:kern w:val="16"/>
          <w:lang w:val="en-US"/>
        </w:rPr>
        <w:drawing>
          <wp:inline distT="0" distB="0" distL="0" distR="0">
            <wp:extent cx="2968625" cy="1696085"/>
            <wp:effectExtent l="19050" t="0" r="3175" b="0"/>
            <wp:docPr id="7" name="Picture 6" descr="Fill2187-bsrt_raw_sigma_through_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2187-bsrt_raw_sigma_through_cycle.png"/>
                    <pic:cNvPicPr/>
                  </pic:nvPicPr>
                  <pic:blipFill>
                    <a:blip r:embed="rId9" cstate="print"/>
                    <a:stretch>
                      <a:fillRect/>
                    </a:stretch>
                  </pic:blipFill>
                  <pic:spPr>
                    <a:xfrm>
                      <a:off x="0" y="0"/>
                      <a:ext cx="2968625" cy="1696085"/>
                    </a:xfrm>
                    <a:prstGeom prst="rect">
                      <a:avLst/>
                    </a:prstGeom>
                  </pic:spPr>
                </pic:pic>
              </a:graphicData>
            </a:graphic>
          </wp:inline>
        </w:drawing>
      </w:r>
      <w:r w:rsidR="009518F3">
        <w:rPr>
          <w:kern w:val="16"/>
        </w:rPr>
        <w:t>Figure 2</w:t>
      </w:r>
      <w:r>
        <w:rPr>
          <w:kern w:val="16"/>
        </w:rPr>
        <w:t xml:space="preserve">: </w:t>
      </w:r>
      <w:r w:rsidR="00C75EEA">
        <w:rPr>
          <w:kern w:val="16"/>
        </w:rPr>
        <w:t>If gated on a few bunches only the BSRTs can be used to study the evolution of the emittance through the cycle.</w:t>
      </w:r>
      <w:r w:rsidR="00EB7E98">
        <w:rPr>
          <w:kern w:val="16"/>
        </w:rPr>
        <w:t xml:space="preserve"> The data during the ramp cannot be used.</w:t>
      </w:r>
    </w:p>
    <w:p w:rsidR="0008529C" w:rsidRDefault="0008529C" w:rsidP="00611FE6">
      <w:pPr>
        <w:pStyle w:val="BodyTextIndent"/>
        <w:rPr>
          <w:kern w:val="16"/>
        </w:rPr>
      </w:pPr>
    </w:p>
    <w:p w:rsidR="00611FE6" w:rsidRDefault="00CB2ABB" w:rsidP="00611FE6">
      <w:pPr>
        <w:pStyle w:val="BodyTextIndent"/>
        <w:rPr>
          <w:kern w:val="16"/>
        </w:rPr>
      </w:pPr>
      <w:r>
        <w:rPr>
          <w:kern w:val="16"/>
        </w:rPr>
        <w:t>An indication of the emittance at the end of the LHC cycle, the start of collisions, can be obtained from the peak luminosity published by the experiments</w:t>
      </w:r>
      <w:r w:rsidR="006728DB">
        <w:rPr>
          <w:kern w:val="16"/>
        </w:rPr>
        <w:t xml:space="preserve"> </w:t>
      </w:r>
      <w:r>
        <w:rPr>
          <w:kern w:val="16"/>
        </w:rPr>
        <w:t>CMS and ATLAS</w:t>
      </w:r>
      <w:r w:rsidR="0008529C">
        <w:rPr>
          <w:kern w:val="16"/>
        </w:rPr>
        <w:t>. The r</w:t>
      </w:r>
      <w:r w:rsidR="00994385">
        <w:rPr>
          <w:kern w:val="16"/>
        </w:rPr>
        <w:t>esulting emittance value is a convolution</w:t>
      </w:r>
      <w:r w:rsidR="0008529C">
        <w:rPr>
          <w:kern w:val="16"/>
        </w:rPr>
        <w:t xml:space="preserve"> of the horizontal and vertical emittances for the two beams.</w:t>
      </w:r>
      <w:r w:rsidR="00994385">
        <w:rPr>
          <w:kern w:val="16"/>
        </w:rPr>
        <w:t xml:space="preserve"> This approach is based on several assumptions </w:t>
      </w:r>
      <w:r w:rsidR="006728DB">
        <w:rPr>
          <w:kern w:val="16"/>
        </w:rPr>
        <w:t>and uncertainties</w:t>
      </w:r>
      <w:r w:rsidR="00994385">
        <w:rPr>
          <w:kern w:val="16"/>
        </w:rPr>
        <w:t xml:space="preserve">. </w:t>
      </w:r>
      <w:r w:rsidR="0008529C">
        <w:rPr>
          <w:kern w:val="16"/>
        </w:rPr>
        <w:t xml:space="preserve"> </w:t>
      </w:r>
      <w:r w:rsidR="006728DB">
        <w:rPr>
          <w:kern w:val="16"/>
        </w:rPr>
        <w:t>The experiments must be fully optimized and the published luminosity values correct. Both conditions were not always fulfilled in 2011. Another assumption is that the transverse intensity distribution is Gaussian. Measurements indicate that the population of the bunch tails might be larger than for truly Gaussian beams [</w:t>
      </w:r>
      <w:r w:rsidR="00C1249C" w:rsidRPr="00C1249C">
        <w:rPr>
          <w:kern w:val="16"/>
        </w:rPr>
        <w:t>2</w:t>
      </w:r>
      <w:r w:rsidR="006728DB">
        <w:rPr>
          <w:kern w:val="16"/>
        </w:rPr>
        <w:t xml:space="preserve">].  </w:t>
      </w:r>
    </w:p>
    <w:p w:rsidR="007A0349" w:rsidRDefault="007A0349" w:rsidP="00611FE6">
      <w:pPr>
        <w:pStyle w:val="BodyTextIndent"/>
        <w:rPr>
          <w:kern w:val="16"/>
        </w:rPr>
      </w:pPr>
    </w:p>
    <w:p w:rsidR="007A0349" w:rsidRDefault="007A0349" w:rsidP="007A0349">
      <w:pPr>
        <w:pStyle w:val="BodyTextIndent"/>
        <w:rPr>
          <w:kern w:val="16"/>
        </w:rPr>
      </w:pPr>
      <w:r>
        <w:rPr>
          <w:noProof/>
          <w:kern w:val="16"/>
          <w:lang w:val="en-US"/>
        </w:rPr>
        <w:drawing>
          <wp:inline distT="0" distB="0" distL="0" distR="0">
            <wp:extent cx="2968625" cy="1979295"/>
            <wp:effectExtent l="19050" t="0" r="3175" b="0"/>
            <wp:docPr id="2" name="Picture 2" descr="LHClumi_SPS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lumi_SPS144.png"/>
                    <pic:cNvPicPr/>
                  </pic:nvPicPr>
                  <pic:blipFill>
                    <a:blip r:embed="rId10" cstate="print"/>
                    <a:stretch>
                      <a:fillRect/>
                    </a:stretch>
                  </pic:blipFill>
                  <pic:spPr>
                    <a:xfrm>
                      <a:off x="0" y="0"/>
                      <a:ext cx="2968625" cy="1979295"/>
                    </a:xfrm>
                    <a:prstGeom prst="rect">
                      <a:avLst/>
                    </a:prstGeom>
                  </pic:spPr>
                </pic:pic>
              </a:graphicData>
            </a:graphic>
          </wp:inline>
        </w:drawing>
      </w:r>
    </w:p>
    <w:p w:rsidR="007A0349" w:rsidRDefault="007A0349" w:rsidP="0079125D">
      <w:pPr>
        <w:pStyle w:val="BodyTextIndent"/>
        <w:jc w:val="center"/>
        <w:rPr>
          <w:kern w:val="16"/>
        </w:rPr>
      </w:pPr>
      <w:r>
        <w:rPr>
          <w:kern w:val="16"/>
        </w:rPr>
        <w:t>Figure 3: Comparison of the wire scan emittances of 144 bunch batches at the SPS flattop (blue, red) with emittances calculated from the LHC luminosity. Period: mid of July to mid of August 2011</w:t>
      </w:r>
    </w:p>
    <w:p w:rsidR="00B42606" w:rsidRDefault="00B42606" w:rsidP="00B42606">
      <w:pPr>
        <w:pStyle w:val="Heading2"/>
        <w:spacing w:before="180"/>
      </w:pPr>
      <w:r>
        <w:lastRenderedPageBreak/>
        <w:t>observation</w:t>
      </w:r>
    </w:p>
    <w:p w:rsidR="00D65663" w:rsidRDefault="00615F1C" w:rsidP="00B42606">
      <w:pPr>
        <w:pStyle w:val="BodyTextIndent"/>
        <w:rPr>
          <w:kern w:val="16"/>
        </w:rPr>
      </w:pPr>
      <w:r>
        <w:rPr>
          <w:kern w:val="16"/>
        </w:rPr>
        <w:t xml:space="preserve">60 LHC fills between mid </w:t>
      </w:r>
      <w:r w:rsidR="00B42606">
        <w:rPr>
          <w:kern w:val="16"/>
        </w:rPr>
        <w:t>July and mid August 2011</w:t>
      </w:r>
      <w:r w:rsidR="00F41EB4">
        <w:rPr>
          <w:kern w:val="16"/>
        </w:rPr>
        <w:t xml:space="preserve"> were analysed in [</w:t>
      </w:r>
      <w:r w:rsidR="000775BB" w:rsidRPr="000775BB">
        <w:rPr>
          <w:kern w:val="16"/>
        </w:rPr>
        <w:t>3</w:t>
      </w:r>
      <w:r w:rsidR="00F41EB4">
        <w:rPr>
          <w:kern w:val="16"/>
        </w:rPr>
        <w:t>]. The emitances from SPS wire scans with 144 bunches were compared with the emittances</w:t>
      </w:r>
      <w:r w:rsidR="00D15509">
        <w:rPr>
          <w:kern w:val="16"/>
        </w:rPr>
        <w:t xml:space="preserve"> from LHC luminosity, see Fig. 3</w:t>
      </w:r>
      <w:r w:rsidR="000B6B24">
        <w:rPr>
          <w:kern w:val="16"/>
        </w:rPr>
        <w:t>. A blow-up of</w:t>
      </w:r>
      <w:r w:rsidR="00B42606">
        <w:rPr>
          <w:kern w:val="16"/>
        </w:rPr>
        <w:t xml:space="preserve"> 20 to </w:t>
      </w:r>
      <w:r w:rsidR="0079125D">
        <w:rPr>
          <w:kern w:val="16"/>
        </w:rPr>
        <w:br/>
      </w:r>
      <w:r w:rsidR="00B42606">
        <w:rPr>
          <w:kern w:val="16"/>
        </w:rPr>
        <w:t>30 % between SPS flattop and LHC c</w:t>
      </w:r>
      <w:r>
        <w:rPr>
          <w:kern w:val="16"/>
        </w:rPr>
        <w:t>ollisions</w:t>
      </w:r>
      <w:r w:rsidR="00F41EB4">
        <w:rPr>
          <w:kern w:val="16"/>
        </w:rPr>
        <w:t xml:space="preserve"> is apparent</w:t>
      </w:r>
      <w:r w:rsidR="00255510">
        <w:rPr>
          <w:kern w:val="16"/>
        </w:rPr>
        <w:t xml:space="preserve">, </w:t>
      </w:r>
      <w:r w:rsidR="00F41EB4">
        <w:rPr>
          <w:kern w:val="16"/>
        </w:rPr>
        <w:t xml:space="preserve">Fig. </w:t>
      </w:r>
      <w:r w:rsidR="00D15509">
        <w:rPr>
          <w:kern w:val="16"/>
        </w:rPr>
        <w:t>4</w:t>
      </w:r>
      <w:r w:rsidR="00B42606">
        <w:rPr>
          <w:kern w:val="16"/>
        </w:rPr>
        <w:t xml:space="preserve">. </w:t>
      </w:r>
    </w:p>
    <w:p w:rsidR="00F41EB4" w:rsidRDefault="00F41EB4" w:rsidP="00B42606">
      <w:pPr>
        <w:pStyle w:val="BodyTextIndent"/>
        <w:rPr>
          <w:kern w:val="16"/>
        </w:rPr>
      </w:pPr>
      <w:r>
        <w:rPr>
          <w:kern w:val="16"/>
        </w:rPr>
        <w:t>In the following the contribution</w:t>
      </w:r>
      <w:r w:rsidR="00255510">
        <w:rPr>
          <w:kern w:val="16"/>
        </w:rPr>
        <w:t xml:space="preserve"> to emittance blow-up</w:t>
      </w:r>
      <w:r w:rsidR="000B6B24">
        <w:rPr>
          <w:kern w:val="16"/>
        </w:rPr>
        <w:t xml:space="preserve"> from</w:t>
      </w:r>
      <w:r>
        <w:rPr>
          <w:kern w:val="16"/>
        </w:rPr>
        <w:t xml:space="preserve"> the different phases of the LHC cycle will be analyzed. </w:t>
      </w:r>
    </w:p>
    <w:p w:rsidR="00F41EB4" w:rsidRDefault="00F41EB4" w:rsidP="00B42606">
      <w:pPr>
        <w:pStyle w:val="BodyTextIndent"/>
        <w:rPr>
          <w:kern w:val="16"/>
        </w:rPr>
      </w:pPr>
    </w:p>
    <w:p w:rsidR="00B42606" w:rsidRDefault="00B42606" w:rsidP="00B42606">
      <w:pPr>
        <w:pStyle w:val="BodyTextIndent"/>
        <w:jc w:val="center"/>
        <w:rPr>
          <w:kern w:val="16"/>
        </w:rPr>
      </w:pPr>
      <w:r>
        <w:rPr>
          <w:noProof/>
          <w:kern w:val="16"/>
          <w:lang w:val="en-US"/>
        </w:rPr>
        <w:drawing>
          <wp:inline distT="0" distB="0" distL="0" distR="0">
            <wp:extent cx="2968625" cy="1979295"/>
            <wp:effectExtent l="19050" t="0" r="3175" b="0"/>
            <wp:docPr id="9" name="Picture 4" descr="Blow_upLHC-S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_upLHC-SPS.png"/>
                    <pic:cNvPicPr/>
                  </pic:nvPicPr>
                  <pic:blipFill>
                    <a:blip r:embed="rId11" cstate="print"/>
                    <a:stretch>
                      <a:fillRect/>
                    </a:stretch>
                  </pic:blipFill>
                  <pic:spPr>
                    <a:xfrm>
                      <a:off x="0" y="0"/>
                      <a:ext cx="2968625" cy="1979295"/>
                    </a:xfrm>
                    <a:prstGeom prst="rect">
                      <a:avLst/>
                    </a:prstGeom>
                  </pic:spPr>
                </pic:pic>
              </a:graphicData>
            </a:graphic>
          </wp:inline>
        </w:drawing>
      </w:r>
    </w:p>
    <w:p w:rsidR="00B42606" w:rsidRDefault="00C519D7" w:rsidP="00B42606">
      <w:pPr>
        <w:pStyle w:val="BodyTextIndent"/>
        <w:jc w:val="center"/>
        <w:rPr>
          <w:kern w:val="16"/>
        </w:rPr>
      </w:pPr>
      <w:r>
        <w:rPr>
          <w:kern w:val="16"/>
        </w:rPr>
        <w:t>Figure 4</w:t>
      </w:r>
      <w:r w:rsidR="00FD0502">
        <w:rPr>
          <w:kern w:val="16"/>
        </w:rPr>
        <w:t>: Blow-up between emittances of 144 bunch batches in the SPS and emittances from collision from Fig.3. Period: mid of July to mid of August 2011.</w:t>
      </w:r>
    </w:p>
    <w:p w:rsidR="007A0349" w:rsidRPr="00233898" w:rsidRDefault="007A0349" w:rsidP="007A0349">
      <w:pPr>
        <w:pStyle w:val="BodyTextIndent"/>
      </w:pPr>
      <w:r>
        <w:rPr>
          <w:noProof/>
          <w:lang w:val="en-US"/>
        </w:rPr>
        <w:drawing>
          <wp:inline distT="0" distB="0" distL="0" distR="0">
            <wp:extent cx="2968625" cy="1979295"/>
            <wp:effectExtent l="19050" t="0" r="3175" b="0"/>
            <wp:docPr id="1" name="Picture 9" descr="Beam1HsS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1HsSPS.png"/>
                    <pic:cNvPicPr/>
                  </pic:nvPicPr>
                  <pic:blipFill>
                    <a:blip r:embed="rId12" cstate="print"/>
                    <a:stretch>
                      <a:fillRect/>
                    </a:stretch>
                  </pic:blipFill>
                  <pic:spPr>
                    <a:xfrm>
                      <a:off x="0" y="0"/>
                      <a:ext cx="2968625" cy="1979295"/>
                    </a:xfrm>
                    <a:prstGeom prst="rect">
                      <a:avLst/>
                    </a:prstGeom>
                  </pic:spPr>
                </pic:pic>
              </a:graphicData>
            </a:graphic>
          </wp:inline>
        </w:drawing>
      </w:r>
      <w:r>
        <w:t xml:space="preserve">  </w:t>
      </w:r>
    </w:p>
    <w:p w:rsidR="007A0349" w:rsidRDefault="007A0349" w:rsidP="000B6B24">
      <w:pPr>
        <w:pStyle w:val="BodyTextIndent"/>
        <w:jc w:val="center"/>
        <w:rPr>
          <w:kern w:val="16"/>
        </w:rPr>
      </w:pPr>
      <w:r>
        <w:rPr>
          <w:kern w:val="16"/>
        </w:rPr>
        <w:t>Figure 5: Comparison of horizontal wire scans of 12 bunches in the SPS and LHC.</w:t>
      </w:r>
    </w:p>
    <w:p w:rsidR="000F05C0" w:rsidRDefault="000F05C0" w:rsidP="00165665">
      <w:pPr>
        <w:pStyle w:val="BodyTextIndent"/>
        <w:rPr>
          <w:kern w:val="16"/>
        </w:rPr>
      </w:pPr>
    </w:p>
    <w:p w:rsidR="00B03F69" w:rsidRDefault="00B03F69" w:rsidP="00B03F69">
      <w:pPr>
        <w:pStyle w:val="Heading2"/>
        <w:spacing w:before="180"/>
      </w:pPr>
      <w:r>
        <w:t>mismatch at injection</w:t>
      </w:r>
      <w:r w:rsidR="00883BDF">
        <w:t>?</w:t>
      </w:r>
    </w:p>
    <w:p w:rsidR="00B42606" w:rsidRDefault="00233898" w:rsidP="007A0349">
      <w:pPr>
        <w:pStyle w:val="BodyTextIndent"/>
        <w:rPr>
          <w:kern w:val="16"/>
        </w:rPr>
      </w:pPr>
      <w:r>
        <w:t>For the s</w:t>
      </w:r>
      <w:r w:rsidR="00320281">
        <w:t xml:space="preserve">ame 60 fills as above </w:t>
      </w:r>
      <w:r>
        <w:t xml:space="preserve">the </w:t>
      </w:r>
      <w:r w:rsidR="00320281">
        <w:t xml:space="preserve">wire scanner data for </w:t>
      </w:r>
      <w:r w:rsidR="00FD5D5F">
        <w:t xml:space="preserve">12 bunch </w:t>
      </w:r>
      <w:r w:rsidR="00320281">
        <w:t>batches</w:t>
      </w:r>
      <w:r>
        <w:t xml:space="preserve"> at the SPS flattop was compared with t</w:t>
      </w:r>
      <w:r w:rsidR="00320281">
        <w:t>he 12 bunch wire scan data in the LHC</w:t>
      </w:r>
      <w:r w:rsidR="00FD5D5F">
        <w:t>. Fig. 5 and Fig. 6</w:t>
      </w:r>
      <w:r>
        <w:t xml:space="preserve"> show the </w:t>
      </w:r>
      <w:r w:rsidR="00A009A4">
        <w:t xml:space="preserve">results of the measurements for the </w:t>
      </w:r>
      <w:r>
        <w:t>horizontal and vertical plane</w:t>
      </w:r>
      <w:r w:rsidR="00320281">
        <w:t xml:space="preserve"> of beam 1</w:t>
      </w:r>
      <w:r>
        <w:t>. Within the measurement accuracy, th</w:t>
      </w:r>
      <w:r w:rsidR="00BD4B98">
        <w:t>e emittanc</w:t>
      </w:r>
      <w:r w:rsidR="00320281">
        <w:t>e values are the same. N</w:t>
      </w:r>
      <w:r w:rsidR="00BD4B98">
        <w:t>o significant growth can</w:t>
      </w:r>
      <w:r w:rsidR="000B19E4">
        <w:t xml:space="preserve"> therefore</w:t>
      </w:r>
      <w:r w:rsidR="00BD4B98">
        <w:t xml:space="preserve"> be attributed to the injection process. </w:t>
      </w:r>
      <w:r>
        <w:t xml:space="preserve"> </w:t>
      </w:r>
    </w:p>
    <w:p w:rsidR="00114114" w:rsidRDefault="0060396C" w:rsidP="008B744C">
      <w:pPr>
        <w:pStyle w:val="BodyTextIndent"/>
        <w:ind w:firstLine="0"/>
        <w:rPr>
          <w:kern w:val="16"/>
        </w:rPr>
      </w:pPr>
      <w:r>
        <w:rPr>
          <w:noProof/>
          <w:kern w:val="16"/>
          <w:lang w:val="en-US"/>
        </w:rPr>
        <w:lastRenderedPageBreak/>
        <w:drawing>
          <wp:inline distT="0" distB="0" distL="0" distR="0">
            <wp:extent cx="2968625" cy="1979295"/>
            <wp:effectExtent l="19050" t="0" r="3175" b="0"/>
            <wp:docPr id="11" name="Picture 10" descr="Beam1VsS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1VsSPS.png"/>
                    <pic:cNvPicPr/>
                  </pic:nvPicPr>
                  <pic:blipFill>
                    <a:blip r:embed="rId13" cstate="print"/>
                    <a:stretch>
                      <a:fillRect/>
                    </a:stretch>
                  </pic:blipFill>
                  <pic:spPr>
                    <a:xfrm>
                      <a:off x="0" y="0"/>
                      <a:ext cx="2968625" cy="1979295"/>
                    </a:xfrm>
                    <a:prstGeom prst="rect">
                      <a:avLst/>
                    </a:prstGeom>
                  </pic:spPr>
                </pic:pic>
              </a:graphicData>
            </a:graphic>
          </wp:inline>
        </w:drawing>
      </w:r>
    </w:p>
    <w:p w:rsidR="0060396C" w:rsidRDefault="00A33C3A" w:rsidP="00F11185">
      <w:pPr>
        <w:pStyle w:val="BodyTextIndent"/>
        <w:jc w:val="center"/>
        <w:rPr>
          <w:kern w:val="16"/>
        </w:rPr>
      </w:pPr>
      <w:r>
        <w:rPr>
          <w:kern w:val="16"/>
        </w:rPr>
        <w:t>Figure 6</w:t>
      </w:r>
      <w:r w:rsidR="00B449F0">
        <w:rPr>
          <w:kern w:val="16"/>
        </w:rPr>
        <w:t>: Comparison of vertical wire scans of 12 bunches in the SPS and LHC.</w:t>
      </w:r>
    </w:p>
    <w:p w:rsidR="0060396C" w:rsidRDefault="0060396C" w:rsidP="00165665">
      <w:pPr>
        <w:pStyle w:val="BodyTextIndent"/>
        <w:rPr>
          <w:kern w:val="16"/>
        </w:rPr>
      </w:pPr>
    </w:p>
    <w:p w:rsidR="00BC52F1" w:rsidRDefault="00FD5D5F" w:rsidP="00165665">
      <w:pPr>
        <w:pStyle w:val="BodyTextIndent"/>
        <w:rPr>
          <w:kern w:val="16"/>
        </w:rPr>
      </w:pPr>
      <w:r>
        <w:rPr>
          <w:kern w:val="16"/>
        </w:rPr>
        <w:t>Fig. 7 and Fig. 8</w:t>
      </w:r>
      <w:r w:rsidR="00BC52F1">
        <w:rPr>
          <w:kern w:val="16"/>
        </w:rPr>
        <w:t xml:space="preserve"> compare the 12 bunch wire scan data of  beam 1 and beam 2 at injection</w:t>
      </w:r>
      <w:r w:rsidR="00D27587">
        <w:rPr>
          <w:kern w:val="16"/>
        </w:rPr>
        <w:t>.</w:t>
      </w:r>
      <w:r w:rsidR="00325BA8">
        <w:rPr>
          <w:kern w:val="16"/>
        </w:rPr>
        <w:t xml:space="preserve"> Using the measured beta functions at the wire scanners b</w:t>
      </w:r>
      <w:r w:rsidR="00BC52F1">
        <w:rPr>
          <w:kern w:val="16"/>
        </w:rPr>
        <w:t xml:space="preserve">eam 1 and beam 2 emittances are the same within the measurement accuracy. </w:t>
      </w:r>
    </w:p>
    <w:p w:rsidR="00F57EC3" w:rsidRDefault="00D27587" w:rsidP="00165665">
      <w:pPr>
        <w:pStyle w:val="BodyTextIndent"/>
        <w:rPr>
          <w:kern w:val="16"/>
        </w:rPr>
      </w:pPr>
      <w:r>
        <w:rPr>
          <w:kern w:val="16"/>
        </w:rPr>
        <w:t xml:space="preserve"> </w:t>
      </w:r>
      <w:r w:rsidR="00F57EC3">
        <w:rPr>
          <w:noProof/>
          <w:kern w:val="16"/>
          <w:lang w:val="en-US"/>
        </w:rPr>
        <w:drawing>
          <wp:inline distT="0" distB="0" distL="0" distR="0">
            <wp:extent cx="2968625" cy="1979295"/>
            <wp:effectExtent l="19050" t="0" r="3175" b="0"/>
            <wp:docPr id="14" name="Picture 13" descr="Beam1VsBeam2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1VsBeam2_H.png"/>
                    <pic:cNvPicPr/>
                  </pic:nvPicPr>
                  <pic:blipFill>
                    <a:blip r:embed="rId14" cstate="print"/>
                    <a:stretch>
                      <a:fillRect/>
                    </a:stretch>
                  </pic:blipFill>
                  <pic:spPr>
                    <a:xfrm>
                      <a:off x="0" y="0"/>
                      <a:ext cx="2968625" cy="1979295"/>
                    </a:xfrm>
                    <a:prstGeom prst="rect">
                      <a:avLst/>
                    </a:prstGeom>
                  </pic:spPr>
                </pic:pic>
              </a:graphicData>
            </a:graphic>
          </wp:inline>
        </w:drawing>
      </w:r>
    </w:p>
    <w:p w:rsidR="00F57EC3" w:rsidRDefault="00661E2F" w:rsidP="00F11185">
      <w:pPr>
        <w:pStyle w:val="BodyTextIndent"/>
        <w:jc w:val="center"/>
        <w:rPr>
          <w:kern w:val="16"/>
        </w:rPr>
      </w:pPr>
      <w:r>
        <w:rPr>
          <w:kern w:val="16"/>
        </w:rPr>
        <w:t>F</w:t>
      </w:r>
      <w:r w:rsidR="00565072">
        <w:rPr>
          <w:kern w:val="16"/>
        </w:rPr>
        <w:t>igure 7</w:t>
      </w:r>
      <w:r>
        <w:rPr>
          <w:kern w:val="16"/>
        </w:rPr>
        <w:t>: Comparison of horizontal wire scans of 12 bunches for beam 1 and beam 2.</w:t>
      </w:r>
    </w:p>
    <w:p w:rsidR="00D27587" w:rsidRDefault="00F57EC3" w:rsidP="007A0349">
      <w:pPr>
        <w:pStyle w:val="BodyTextIndent"/>
        <w:ind w:firstLine="0"/>
        <w:rPr>
          <w:kern w:val="16"/>
        </w:rPr>
      </w:pPr>
      <w:r>
        <w:rPr>
          <w:noProof/>
          <w:kern w:val="16"/>
          <w:lang w:val="en-US"/>
        </w:rPr>
        <w:drawing>
          <wp:inline distT="0" distB="0" distL="0" distR="0">
            <wp:extent cx="2968625" cy="1979295"/>
            <wp:effectExtent l="19050" t="0" r="3175" b="0"/>
            <wp:docPr id="15" name="Picture 14" descr="Beam1VsBeam2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1VsBeam2_V.png"/>
                    <pic:cNvPicPr/>
                  </pic:nvPicPr>
                  <pic:blipFill>
                    <a:blip r:embed="rId15" cstate="print"/>
                    <a:stretch>
                      <a:fillRect/>
                    </a:stretch>
                  </pic:blipFill>
                  <pic:spPr>
                    <a:xfrm>
                      <a:off x="0" y="0"/>
                      <a:ext cx="2968625" cy="1979295"/>
                    </a:xfrm>
                    <a:prstGeom prst="rect">
                      <a:avLst/>
                    </a:prstGeom>
                  </pic:spPr>
                </pic:pic>
              </a:graphicData>
            </a:graphic>
          </wp:inline>
        </w:drawing>
      </w:r>
    </w:p>
    <w:p w:rsidR="00F57EC3" w:rsidRDefault="00F57EC3" w:rsidP="00165665">
      <w:pPr>
        <w:pStyle w:val="BodyTextIndent"/>
        <w:rPr>
          <w:kern w:val="16"/>
        </w:rPr>
      </w:pPr>
    </w:p>
    <w:p w:rsidR="00565072" w:rsidRDefault="00565072" w:rsidP="00F11185">
      <w:pPr>
        <w:pStyle w:val="BodyTextIndent"/>
        <w:jc w:val="center"/>
        <w:rPr>
          <w:kern w:val="16"/>
        </w:rPr>
      </w:pPr>
      <w:r>
        <w:rPr>
          <w:kern w:val="16"/>
        </w:rPr>
        <w:t>Figure 8: Comparison of vertical wire scans of 12 bunches for beam 1 and beam 2.</w:t>
      </w:r>
    </w:p>
    <w:p w:rsidR="00F57EC3" w:rsidRDefault="00F57EC3" w:rsidP="00F57EC3">
      <w:pPr>
        <w:pStyle w:val="BodyTextIndent"/>
        <w:rPr>
          <w:kern w:val="16"/>
        </w:rPr>
      </w:pPr>
    </w:p>
    <w:p w:rsidR="00F57EC3" w:rsidRDefault="00F57EC3" w:rsidP="00165665">
      <w:pPr>
        <w:pStyle w:val="BodyTextIndent"/>
        <w:rPr>
          <w:kern w:val="16"/>
        </w:rPr>
      </w:pPr>
    </w:p>
    <w:p w:rsidR="000D1A4E" w:rsidRDefault="00F57EC3" w:rsidP="00684584">
      <w:pPr>
        <w:pStyle w:val="Heading2"/>
        <w:spacing w:before="180"/>
      </w:pPr>
      <w:r>
        <w:lastRenderedPageBreak/>
        <w:t>emittance growth @ 450 GEv</w:t>
      </w:r>
    </w:p>
    <w:p w:rsidR="00F57EC3" w:rsidRDefault="000D1A4E" w:rsidP="00F57EC3">
      <w:pPr>
        <w:pStyle w:val="BodyTextIndent"/>
      </w:pPr>
      <w:r>
        <w:t>The emittance evolution at 450 GeV was studied</w:t>
      </w:r>
      <w:r w:rsidR="00325BA8">
        <w:t xml:space="preserve"> </w:t>
      </w:r>
      <w:r>
        <w:t xml:space="preserve">using the BSRTs gated on a single </w:t>
      </w:r>
      <w:r w:rsidR="00684584">
        <w:t xml:space="preserve">bunch or a few bunches only </w:t>
      </w:r>
      <w:r>
        <w:t xml:space="preserve">while waiting at injection of long periods (&gt; 60 minutes).  </w:t>
      </w:r>
      <w:r w:rsidR="00F57EC3">
        <w:t xml:space="preserve">An example is </w:t>
      </w:r>
      <w:r w:rsidR="008B744C">
        <w:t>shown in Fig. 9, F</w:t>
      </w:r>
      <w:r>
        <w:t xml:space="preserve">ill 2028. In this case </w:t>
      </w:r>
      <w:r w:rsidR="008B744C">
        <w:t>the data</w:t>
      </w:r>
      <w:r>
        <w:t xml:space="preserve"> was obtained while gating over a</w:t>
      </w:r>
      <w:r w:rsidR="00437E9B">
        <w:t xml:space="preserve"> single bun</w:t>
      </w:r>
      <w:r w:rsidR="00684584">
        <w:t xml:space="preserve">ch only. It </w:t>
      </w:r>
      <w:r w:rsidR="00437E9B">
        <w:t xml:space="preserve">is </w:t>
      </w:r>
      <w:r>
        <w:t>hence relatively noisy. The emittance in the horizontal plane</w:t>
      </w:r>
      <w:r w:rsidR="00DF7780">
        <w:t xml:space="preserve"> grows </w:t>
      </w:r>
      <w:r w:rsidR="00437E9B">
        <w:t xml:space="preserve">by </w:t>
      </w:r>
      <w:r w:rsidR="00DF7780">
        <w:t xml:space="preserve">about 10 % in 20 minutes. </w:t>
      </w:r>
      <w:r w:rsidR="00437E9B">
        <w:t>The growth thereafter slows down</w:t>
      </w:r>
      <w:r w:rsidR="005A60B3">
        <w:t xml:space="preserve"> as is typical for IBS</w:t>
      </w:r>
    </w:p>
    <w:p w:rsidR="00F57EC3" w:rsidRPr="00F57EC3" w:rsidRDefault="00EA7684" w:rsidP="00F57EC3">
      <w:pPr>
        <w:pStyle w:val="BodyTextIndent"/>
      </w:pPr>
      <w:r w:rsidRPr="00EA7684">
        <w:rPr>
          <w:noProof/>
          <w:lang w:val="en-US"/>
        </w:rPr>
        <w:drawing>
          <wp:inline distT="0" distB="0" distL="0" distR="0">
            <wp:extent cx="2968625" cy="1979083"/>
            <wp:effectExtent l="19050" t="0" r="3175" b="0"/>
            <wp:docPr id="16" name="Picture 2" descr="fill2028_beam1_atInjection.png"/>
            <wp:cNvGraphicFramePr/>
            <a:graphic xmlns:a="http://schemas.openxmlformats.org/drawingml/2006/main">
              <a:graphicData uri="http://schemas.openxmlformats.org/drawingml/2006/picture">
                <pic:pic xmlns:pic="http://schemas.openxmlformats.org/drawingml/2006/picture">
                  <pic:nvPicPr>
                    <pic:cNvPr id="9221" name="Picture 4" descr="fill2028_beam1_atInjection.png"/>
                    <pic:cNvPicPr>
                      <a:picLocks noChangeAspect="1"/>
                    </pic:cNvPicPr>
                  </pic:nvPicPr>
                  <pic:blipFill>
                    <a:blip r:embed="rId16" cstate="print"/>
                    <a:srcRect/>
                    <a:stretch>
                      <a:fillRect/>
                    </a:stretch>
                  </pic:blipFill>
                  <pic:spPr bwMode="auto">
                    <a:xfrm>
                      <a:off x="0" y="0"/>
                      <a:ext cx="2968625" cy="1979083"/>
                    </a:xfrm>
                    <a:prstGeom prst="rect">
                      <a:avLst/>
                    </a:prstGeom>
                    <a:noFill/>
                    <a:ln w="9525">
                      <a:noFill/>
                      <a:miter lim="800000"/>
                      <a:headEnd/>
                      <a:tailEnd/>
                    </a:ln>
                  </pic:spPr>
                </pic:pic>
              </a:graphicData>
            </a:graphic>
          </wp:inline>
        </w:drawing>
      </w:r>
    </w:p>
    <w:p w:rsidR="00EA7684" w:rsidRDefault="00EA7684" w:rsidP="00F11185">
      <w:pPr>
        <w:pStyle w:val="BodyTextIndent"/>
        <w:jc w:val="center"/>
        <w:rPr>
          <w:kern w:val="16"/>
        </w:rPr>
      </w:pPr>
      <w:r>
        <w:rPr>
          <w:kern w:val="16"/>
        </w:rPr>
        <w:t xml:space="preserve">Figure </w:t>
      </w:r>
      <w:r w:rsidR="003C7851">
        <w:rPr>
          <w:kern w:val="16"/>
        </w:rPr>
        <w:t>9</w:t>
      </w:r>
      <w:r>
        <w:rPr>
          <w:kern w:val="16"/>
        </w:rPr>
        <w:t>: For fill 2028 the BSRT was gated over a single bunch. The measurement is noisy, nevertheless a growth in the horizontal plan</w:t>
      </w:r>
      <w:r w:rsidR="000D1A4E">
        <w:rPr>
          <w:kern w:val="16"/>
        </w:rPr>
        <w:t>e of about 10 % in 20</w:t>
      </w:r>
      <w:r>
        <w:rPr>
          <w:kern w:val="16"/>
        </w:rPr>
        <w:t xml:space="preserve"> minutes is apparent.</w:t>
      </w:r>
    </w:p>
    <w:p w:rsidR="00DF7780" w:rsidRDefault="00DF7780" w:rsidP="00EA7684">
      <w:pPr>
        <w:pStyle w:val="BodyTextIndent"/>
        <w:rPr>
          <w:kern w:val="16"/>
        </w:rPr>
      </w:pPr>
    </w:p>
    <w:p w:rsidR="00E843E9" w:rsidRDefault="00DF7780" w:rsidP="00AC05DF">
      <w:pPr>
        <w:pStyle w:val="BodyTextIndent"/>
        <w:rPr>
          <w:kern w:val="16"/>
        </w:rPr>
      </w:pPr>
      <w:r>
        <w:rPr>
          <w:kern w:val="16"/>
        </w:rPr>
        <w:t xml:space="preserve">Simulations were carried out to find the origin of the emittance blow-up. </w:t>
      </w:r>
      <w:r w:rsidR="00684584">
        <w:rPr>
          <w:kern w:val="16"/>
        </w:rPr>
        <w:t>In Fig. 10</w:t>
      </w:r>
      <w:r w:rsidR="008C0E5F">
        <w:rPr>
          <w:kern w:val="16"/>
        </w:rPr>
        <w:t>,</w:t>
      </w:r>
      <w:r w:rsidR="00684584">
        <w:rPr>
          <w:kern w:val="16"/>
        </w:rPr>
        <w:t xml:space="preserve"> IBS simulation results are compared with emittance measurements for Fill 1897. The BSRT had been gated over</w:t>
      </w:r>
      <w:r w:rsidR="00AC05DF">
        <w:rPr>
          <w:kern w:val="16"/>
        </w:rPr>
        <w:t xml:space="preserve"> 12 bunches for this </w:t>
      </w:r>
      <w:r w:rsidR="00684584">
        <w:rPr>
          <w:kern w:val="16"/>
        </w:rPr>
        <w:t xml:space="preserve">occasion. </w:t>
      </w:r>
      <w:r>
        <w:rPr>
          <w:kern w:val="16"/>
        </w:rPr>
        <w:t xml:space="preserve">The horizontal </w:t>
      </w:r>
      <w:r w:rsidR="007F024C">
        <w:rPr>
          <w:kern w:val="16"/>
        </w:rPr>
        <w:t>emittance growth</w:t>
      </w:r>
      <w:r>
        <w:rPr>
          <w:kern w:val="16"/>
        </w:rPr>
        <w:t xml:space="preserve"> is </w:t>
      </w:r>
      <w:r w:rsidR="007F024C">
        <w:rPr>
          <w:kern w:val="16"/>
        </w:rPr>
        <w:t xml:space="preserve">reasonably consistent with the growth predicted by IBS. </w:t>
      </w:r>
      <w:r w:rsidR="00AC05DF">
        <w:rPr>
          <w:kern w:val="16"/>
        </w:rPr>
        <w:t>The s</w:t>
      </w:r>
      <w:r w:rsidR="007F024C">
        <w:rPr>
          <w:kern w:val="16"/>
        </w:rPr>
        <w:t>imulati</w:t>
      </w:r>
      <w:r>
        <w:rPr>
          <w:kern w:val="16"/>
        </w:rPr>
        <w:t xml:space="preserve">ons used </w:t>
      </w:r>
      <w:r w:rsidR="007F024C">
        <w:rPr>
          <w:kern w:val="16"/>
        </w:rPr>
        <w:t>measured parameters of initial emittance (wire scanner), emittance evolution (BSRT), bunch length (LHC</w:t>
      </w:r>
      <w:r>
        <w:rPr>
          <w:kern w:val="16"/>
        </w:rPr>
        <w:t xml:space="preserve"> BQM), bunch intensity (</w:t>
      </w:r>
      <w:r w:rsidR="007F024C">
        <w:rPr>
          <w:kern w:val="16"/>
        </w:rPr>
        <w:t>LHC FBCTs</w:t>
      </w:r>
      <w:r>
        <w:rPr>
          <w:kern w:val="16"/>
        </w:rPr>
        <w:t xml:space="preserve">) and </w:t>
      </w:r>
      <w:r w:rsidR="007F024C">
        <w:rPr>
          <w:kern w:val="16"/>
        </w:rPr>
        <w:t>RF total voltage</w:t>
      </w:r>
      <w:r>
        <w:rPr>
          <w:kern w:val="16"/>
        </w:rPr>
        <w:t xml:space="preserve"> as input</w:t>
      </w:r>
      <w:r w:rsidR="007F024C">
        <w:rPr>
          <w:kern w:val="16"/>
        </w:rPr>
        <w:t xml:space="preserve">. </w:t>
      </w:r>
      <w:r w:rsidR="00E843E9">
        <w:rPr>
          <w:kern w:val="16"/>
        </w:rPr>
        <w:t>Method and code are described in [</w:t>
      </w:r>
      <w:r w:rsidR="00FE13E7" w:rsidRPr="00FE13E7">
        <w:rPr>
          <w:kern w:val="16"/>
        </w:rPr>
        <w:t>4</w:t>
      </w:r>
      <w:r w:rsidR="00E843E9">
        <w:rPr>
          <w:kern w:val="16"/>
        </w:rPr>
        <w:t>].</w:t>
      </w:r>
    </w:p>
    <w:p w:rsidR="00F57EC3" w:rsidRDefault="006A56AD" w:rsidP="007A0349">
      <w:pPr>
        <w:pStyle w:val="BodyTextIndent"/>
        <w:ind w:firstLine="0"/>
        <w:rPr>
          <w:kern w:val="16"/>
        </w:rPr>
      </w:pPr>
      <w:r w:rsidRPr="006A56AD">
        <w:rPr>
          <w:noProof/>
          <w:kern w:val="16"/>
          <w:lang w:val="en-US"/>
        </w:rPr>
        <w:drawing>
          <wp:inline distT="0" distB="0" distL="0" distR="0">
            <wp:extent cx="2968625" cy="1979083"/>
            <wp:effectExtent l="19050" t="0" r="3175" b="0"/>
            <wp:docPr id="17" name="Picture 4" descr="fill1897_beam1_H.png"/>
            <wp:cNvGraphicFramePr/>
            <a:graphic xmlns:a="http://schemas.openxmlformats.org/drawingml/2006/main">
              <a:graphicData uri="http://schemas.openxmlformats.org/drawingml/2006/picture">
                <pic:pic xmlns:pic="http://schemas.openxmlformats.org/drawingml/2006/picture">
                  <pic:nvPicPr>
                    <pic:cNvPr id="9222" name="Picture 5" descr="fill1897_beam1_H.png"/>
                    <pic:cNvPicPr>
                      <a:picLocks noChangeAspect="1"/>
                    </pic:cNvPicPr>
                  </pic:nvPicPr>
                  <pic:blipFill>
                    <a:blip r:embed="rId17" cstate="print"/>
                    <a:srcRect/>
                    <a:stretch>
                      <a:fillRect/>
                    </a:stretch>
                  </pic:blipFill>
                  <pic:spPr bwMode="auto">
                    <a:xfrm>
                      <a:off x="0" y="0"/>
                      <a:ext cx="2968625" cy="1979083"/>
                    </a:xfrm>
                    <a:prstGeom prst="rect">
                      <a:avLst/>
                    </a:prstGeom>
                    <a:noFill/>
                    <a:ln w="9525">
                      <a:noFill/>
                      <a:miter lim="800000"/>
                      <a:headEnd/>
                      <a:tailEnd/>
                    </a:ln>
                  </pic:spPr>
                </pic:pic>
              </a:graphicData>
            </a:graphic>
          </wp:inline>
        </w:drawing>
      </w:r>
    </w:p>
    <w:p w:rsidR="00DF7780" w:rsidRDefault="00AB4DA4" w:rsidP="00F11185">
      <w:pPr>
        <w:pStyle w:val="BodyTextIndent"/>
        <w:jc w:val="center"/>
        <w:rPr>
          <w:kern w:val="16"/>
        </w:rPr>
      </w:pPr>
      <w:r>
        <w:rPr>
          <w:kern w:val="16"/>
        </w:rPr>
        <w:t>Figure</w:t>
      </w:r>
      <w:r w:rsidR="00E54651">
        <w:rPr>
          <w:kern w:val="16"/>
        </w:rPr>
        <w:t xml:space="preserve"> 10</w:t>
      </w:r>
      <w:r>
        <w:rPr>
          <w:kern w:val="16"/>
        </w:rPr>
        <w:t xml:space="preserve">: Comparison of </w:t>
      </w:r>
      <w:r w:rsidR="00E54651">
        <w:rPr>
          <w:kern w:val="16"/>
        </w:rPr>
        <w:t xml:space="preserve">measured </w:t>
      </w:r>
      <w:r>
        <w:rPr>
          <w:kern w:val="16"/>
        </w:rPr>
        <w:t>horizontal emittance evolution</w:t>
      </w:r>
      <w:r w:rsidR="00076FB6">
        <w:rPr>
          <w:kern w:val="16"/>
        </w:rPr>
        <w:t xml:space="preserve"> at injection, green curve, with simulation of IBS (uncoupled), blue curve.</w:t>
      </w:r>
    </w:p>
    <w:p w:rsidR="00DF7780" w:rsidRDefault="00DF7780" w:rsidP="00165665">
      <w:pPr>
        <w:pStyle w:val="BodyTextIndent"/>
        <w:rPr>
          <w:kern w:val="16"/>
        </w:rPr>
      </w:pPr>
    </w:p>
    <w:p w:rsidR="006A56AD" w:rsidRDefault="006A56AD" w:rsidP="00165665">
      <w:pPr>
        <w:pStyle w:val="BodyTextIndent"/>
        <w:rPr>
          <w:kern w:val="16"/>
        </w:rPr>
      </w:pPr>
      <w:r>
        <w:rPr>
          <w:kern w:val="16"/>
        </w:rPr>
        <w:lastRenderedPageBreak/>
        <w:t xml:space="preserve">More studies will have to be carried out in 2012 to understand </w:t>
      </w:r>
      <w:r w:rsidR="00DF7780">
        <w:rPr>
          <w:kern w:val="16"/>
        </w:rPr>
        <w:t xml:space="preserve">the </w:t>
      </w:r>
      <w:r>
        <w:rPr>
          <w:kern w:val="16"/>
        </w:rPr>
        <w:t xml:space="preserve">nonetheless </w:t>
      </w:r>
      <w:r w:rsidR="00462FA0">
        <w:rPr>
          <w:kern w:val="16"/>
        </w:rPr>
        <w:t xml:space="preserve">slightly </w:t>
      </w:r>
      <w:r>
        <w:rPr>
          <w:kern w:val="16"/>
        </w:rPr>
        <w:t>faster growth in H than predicted by IBS and also the discrepancy between simulation and measurement of the bunch leng</w:t>
      </w:r>
      <w:r w:rsidR="00AC05DF">
        <w:rPr>
          <w:kern w:val="16"/>
        </w:rPr>
        <w:t>th evolution as shown in Fig. 11</w:t>
      </w:r>
      <w:r>
        <w:rPr>
          <w:kern w:val="16"/>
        </w:rPr>
        <w:t xml:space="preserve"> for the same Fill 1897.</w:t>
      </w:r>
    </w:p>
    <w:p w:rsidR="00001EC0" w:rsidRDefault="00001EC0" w:rsidP="00AC05DF">
      <w:pPr>
        <w:pStyle w:val="BodyTextIndent"/>
        <w:ind w:firstLine="0"/>
        <w:rPr>
          <w:kern w:val="16"/>
        </w:rPr>
      </w:pPr>
      <w:r w:rsidRPr="00001EC0">
        <w:rPr>
          <w:noProof/>
          <w:kern w:val="16"/>
          <w:lang w:val="en-US"/>
        </w:rPr>
        <w:drawing>
          <wp:inline distT="0" distB="0" distL="0" distR="0">
            <wp:extent cx="2968625" cy="1979083"/>
            <wp:effectExtent l="19050" t="0" r="3175" b="0"/>
            <wp:docPr id="18" name="Picture 6" descr="fill1897_beam1_bunchLength.png"/>
            <wp:cNvGraphicFramePr/>
            <a:graphic xmlns:a="http://schemas.openxmlformats.org/drawingml/2006/main">
              <a:graphicData uri="http://schemas.openxmlformats.org/drawingml/2006/picture">
                <pic:pic xmlns:pic="http://schemas.openxmlformats.org/drawingml/2006/picture">
                  <pic:nvPicPr>
                    <pic:cNvPr id="9223" name="Picture 6" descr="fill1897_beam1_bunchLength.png"/>
                    <pic:cNvPicPr>
                      <a:picLocks noChangeAspect="1"/>
                    </pic:cNvPicPr>
                  </pic:nvPicPr>
                  <pic:blipFill>
                    <a:blip r:embed="rId18" cstate="print"/>
                    <a:srcRect/>
                    <a:stretch>
                      <a:fillRect/>
                    </a:stretch>
                  </pic:blipFill>
                  <pic:spPr bwMode="auto">
                    <a:xfrm>
                      <a:off x="0" y="0"/>
                      <a:ext cx="2968625" cy="1979083"/>
                    </a:xfrm>
                    <a:prstGeom prst="rect">
                      <a:avLst/>
                    </a:prstGeom>
                    <a:noFill/>
                    <a:ln w="9525">
                      <a:noFill/>
                      <a:miter lim="800000"/>
                      <a:headEnd/>
                      <a:tailEnd/>
                    </a:ln>
                  </pic:spPr>
                </pic:pic>
              </a:graphicData>
            </a:graphic>
          </wp:inline>
        </w:drawing>
      </w:r>
    </w:p>
    <w:p w:rsidR="00DF7780" w:rsidRDefault="00E54651" w:rsidP="00F11185">
      <w:pPr>
        <w:pStyle w:val="BodyTextIndent"/>
        <w:jc w:val="center"/>
        <w:rPr>
          <w:color w:val="FF0000"/>
          <w:kern w:val="16"/>
        </w:rPr>
      </w:pPr>
      <w:r>
        <w:rPr>
          <w:kern w:val="16"/>
        </w:rPr>
        <w:t>Figure 11:  Comparison of evolution of measured bunch length with simulation of IBS. The discrepancy still needs to be understood.</w:t>
      </w:r>
    </w:p>
    <w:p w:rsidR="00DF7780" w:rsidRDefault="00DF7780" w:rsidP="00165665">
      <w:pPr>
        <w:pStyle w:val="BodyTextIndent"/>
        <w:rPr>
          <w:color w:val="FF0000"/>
          <w:kern w:val="16"/>
        </w:rPr>
      </w:pPr>
    </w:p>
    <w:p w:rsidR="00DF7780" w:rsidRDefault="00DF7780" w:rsidP="00165665">
      <w:pPr>
        <w:pStyle w:val="BodyTextIndent"/>
        <w:rPr>
          <w:kern w:val="16"/>
        </w:rPr>
      </w:pPr>
    </w:p>
    <w:p w:rsidR="00001EC0" w:rsidRDefault="009772F9" w:rsidP="00165665">
      <w:pPr>
        <w:pStyle w:val="BodyTextIndent"/>
        <w:rPr>
          <w:kern w:val="16"/>
        </w:rPr>
      </w:pPr>
      <w:r>
        <w:rPr>
          <w:kern w:val="16"/>
        </w:rPr>
        <w:t>The LHC filling (excluding the injection of the intermediate batch)</w:t>
      </w:r>
      <w:r w:rsidR="00275510">
        <w:rPr>
          <w:kern w:val="16"/>
        </w:rPr>
        <w:t xml:space="preserve"> takes about 30 minutes. This should be</w:t>
      </w:r>
      <w:r>
        <w:rPr>
          <w:kern w:val="16"/>
        </w:rPr>
        <w:t xml:space="preserve"> long enough to develop significant differences between the emittances of the first injected batch and the last injected one according to </w:t>
      </w:r>
      <w:r w:rsidR="00AC05DF">
        <w:rPr>
          <w:kern w:val="16"/>
        </w:rPr>
        <w:t xml:space="preserve">the </w:t>
      </w:r>
      <w:r>
        <w:rPr>
          <w:kern w:val="16"/>
        </w:rPr>
        <w:t>growth rates seen in Fill 2028, Fig</w:t>
      </w:r>
      <w:r w:rsidR="00AC05DF">
        <w:rPr>
          <w:kern w:val="16"/>
        </w:rPr>
        <w:t>. 9</w:t>
      </w:r>
      <w:r>
        <w:rPr>
          <w:kern w:val="16"/>
        </w:rPr>
        <w:t>.</w:t>
      </w:r>
      <w:r w:rsidR="00001EC0">
        <w:rPr>
          <w:kern w:val="16"/>
        </w:rPr>
        <w:t xml:space="preserve"> </w:t>
      </w:r>
      <w:r>
        <w:rPr>
          <w:kern w:val="16"/>
        </w:rPr>
        <w:t xml:space="preserve">These differences should be visible in the specific bunch-by-bunch luminosity. </w:t>
      </w:r>
      <w:r w:rsidR="009B153F">
        <w:rPr>
          <w:kern w:val="16"/>
        </w:rPr>
        <w:t>And t</w:t>
      </w:r>
      <w:r w:rsidR="00AC05DF">
        <w:rPr>
          <w:kern w:val="16"/>
        </w:rPr>
        <w:t>his is indeed the case as shown in Fig. 12</w:t>
      </w:r>
      <w:r w:rsidR="0060119C">
        <w:rPr>
          <w:kern w:val="16"/>
        </w:rPr>
        <w:t xml:space="preserve">. The difference in specific luminosity between the first and the last injected batches is about 10 %. </w:t>
      </w:r>
    </w:p>
    <w:p w:rsidR="00DF7780" w:rsidRDefault="00DF7780" w:rsidP="00165665">
      <w:pPr>
        <w:pStyle w:val="BodyTextIndent"/>
        <w:rPr>
          <w:kern w:val="16"/>
        </w:rPr>
      </w:pPr>
    </w:p>
    <w:p w:rsidR="004A06FB" w:rsidRDefault="004A06FB" w:rsidP="007A0349">
      <w:pPr>
        <w:pStyle w:val="BodyTextIndent"/>
        <w:ind w:firstLine="0"/>
        <w:rPr>
          <w:kern w:val="16"/>
        </w:rPr>
      </w:pPr>
      <w:r w:rsidRPr="004A06FB">
        <w:rPr>
          <w:noProof/>
          <w:kern w:val="16"/>
          <w:lang w:val="en-US"/>
        </w:rPr>
        <w:drawing>
          <wp:inline distT="0" distB="0" distL="0" distR="0">
            <wp:extent cx="2968625" cy="2013337"/>
            <wp:effectExtent l="19050" t="0" r="3175" b="0"/>
            <wp:docPr id="19" name="Picture 7" descr="fill_2182_splumi (2).gif"/>
            <wp:cNvGraphicFramePr/>
            <a:graphic xmlns:a="http://schemas.openxmlformats.org/drawingml/2006/main">
              <a:graphicData uri="http://schemas.openxmlformats.org/drawingml/2006/picture">
                <pic:pic xmlns:pic="http://schemas.openxmlformats.org/drawingml/2006/picture">
                  <pic:nvPicPr>
                    <pic:cNvPr id="10245" name="Picture 4" descr="fill_2182_splumi (2).gif"/>
                    <pic:cNvPicPr>
                      <a:picLocks noChangeAspect="1"/>
                    </pic:cNvPicPr>
                  </pic:nvPicPr>
                  <pic:blipFill>
                    <a:blip r:embed="rId19" cstate="print"/>
                    <a:srcRect/>
                    <a:stretch>
                      <a:fillRect/>
                    </a:stretch>
                  </pic:blipFill>
                  <pic:spPr bwMode="auto">
                    <a:xfrm>
                      <a:off x="0" y="0"/>
                      <a:ext cx="2968625" cy="2013337"/>
                    </a:xfrm>
                    <a:prstGeom prst="rect">
                      <a:avLst/>
                    </a:prstGeom>
                    <a:noFill/>
                    <a:ln w="9525">
                      <a:noFill/>
                      <a:miter lim="800000"/>
                      <a:headEnd/>
                      <a:tailEnd/>
                    </a:ln>
                  </pic:spPr>
                </pic:pic>
              </a:graphicData>
            </a:graphic>
          </wp:inline>
        </w:drawing>
      </w:r>
    </w:p>
    <w:p w:rsidR="00AC05DF" w:rsidRDefault="00AC05DF" w:rsidP="00165665">
      <w:pPr>
        <w:pStyle w:val="BodyTextIndent"/>
        <w:rPr>
          <w:kern w:val="16"/>
        </w:rPr>
      </w:pPr>
    </w:p>
    <w:p w:rsidR="00106196" w:rsidRDefault="00361335" w:rsidP="002B6D03">
      <w:pPr>
        <w:pStyle w:val="BodyTextIndent"/>
        <w:jc w:val="center"/>
        <w:rPr>
          <w:kern w:val="16"/>
        </w:rPr>
      </w:pPr>
      <w:r>
        <w:rPr>
          <w:kern w:val="16"/>
        </w:rPr>
        <w:t xml:space="preserve">Figure 12: Bunch-by-bunch luminosity and specific </w:t>
      </w:r>
      <w:r w:rsidR="007048EC">
        <w:rPr>
          <w:kern w:val="16"/>
        </w:rPr>
        <w:t xml:space="preserve">bunch-by-bunch </w:t>
      </w:r>
      <w:r>
        <w:rPr>
          <w:kern w:val="16"/>
        </w:rPr>
        <w:t>luminosity</w:t>
      </w:r>
      <w:r w:rsidR="007048EC">
        <w:rPr>
          <w:kern w:val="16"/>
        </w:rPr>
        <w:t xml:space="preserve"> for fill 2182 at beginning of fill. There is a 10 % difference in specific luminosity for</w:t>
      </w:r>
      <w:r w:rsidR="00F11185">
        <w:rPr>
          <w:kern w:val="16"/>
        </w:rPr>
        <w:t xml:space="preserve"> the first batches compared to</w:t>
      </w:r>
      <w:r w:rsidR="007048EC">
        <w:rPr>
          <w:kern w:val="16"/>
        </w:rPr>
        <w:t xml:space="preserve"> the last injected batches.</w:t>
      </w:r>
      <w:r w:rsidR="00106196">
        <w:rPr>
          <w:kern w:val="16"/>
        </w:rPr>
        <w:t xml:space="preserve"> </w:t>
      </w:r>
      <w:r w:rsidR="00106196" w:rsidRPr="00106196">
        <w:rPr>
          <w:i/>
          <w:kern w:val="16"/>
        </w:rPr>
        <w:t>Courtesy A. Ryd, CMS</w:t>
      </w:r>
    </w:p>
    <w:p w:rsidR="007F024C" w:rsidRDefault="007F024C" w:rsidP="00165665">
      <w:pPr>
        <w:pStyle w:val="BodyTextIndent"/>
        <w:rPr>
          <w:kern w:val="16"/>
        </w:rPr>
      </w:pPr>
    </w:p>
    <w:p w:rsidR="004A06FB" w:rsidRDefault="004A06FB" w:rsidP="004A06FB">
      <w:pPr>
        <w:pStyle w:val="Heading2"/>
        <w:spacing w:before="180"/>
      </w:pPr>
      <w:r>
        <w:lastRenderedPageBreak/>
        <w:t>Emittance growth during the ramp</w:t>
      </w:r>
    </w:p>
    <w:p w:rsidR="004A06FB" w:rsidRDefault="009772F9" w:rsidP="004A06FB">
      <w:pPr>
        <w:pStyle w:val="BodyTextIndent"/>
      </w:pPr>
      <w:r>
        <w:t xml:space="preserve">As </w:t>
      </w:r>
      <w:r w:rsidR="004A06FB">
        <w:t>the LHC BSRT</w:t>
      </w:r>
      <w:r>
        <w:t xml:space="preserve">s do not produce useful data </w:t>
      </w:r>
      <w:r w:rsidR="004A06FB">
        <w:t>during the energy ramp</w:t>
      </w:r>
      <w:r>
        <w:t xml:space="preserve"> and the Beam-gas Ionization Profile Monitors (BGI) were not </w:t>
      </w:r>
      <w:r w:rsidR="00524F40">
        <w:t>commissioned, other methods had to be thought of to study emittance evolution during the ramp</w:t>
      </w:r>
      <w:r w:rsidR="004A06FB">
        <w:t xml:space="preserve">. </w:t>
      </w:r>
      <w:r w:rsidR="00524F40">
        <w:t>In the end the wire scans were triggered several times during the ramp for dedicated fills</w:t>
      </w:r>
      <w:r w:rsidR="00106196">
        <w:t xml:space="preserve"> with a low enough number of</w:t>
      </w:r>
      <w:r w:rsidR="00524F40">
        <w:t xml:space="preserve"> bunches</w:t>
      </w:r>
      <w:r w:rsidR="00106196">
        <w:t xml:space="preserve">. </w:t>
      </w:r>
    </w:p>
    <w:p w:rsidR="007A0349" w:rsidRDefault="0098507D" w:rsidP="0079125D">
      <w:pPr>
        <w:pStyle w:val="BodyTextIndent"/>
      </w:pPr>
      <w:r>
        <w:t>Fi</w:t>
      </w:r>
      <w:r w:rsidR="00524F40">
        <w:t>ll 2187 was an appropriate f</w:t>
      </w:r>
      <w:r w:rsidR="00AC6F4B">
        <w:t>ill with only 36 bunches per ring in groups of 12 bunches spaced by 50 ns. The</w:t>
      </w:r>
      <w:r w:rsidR="00524F40">
        <w:t xml:space="preserve"> purpose </w:t>
      </w:r>
      <w:r w:rsidR="00AC6F4B">
        <w:t xml:space="preserve">of this fill </w:t>
      </w:r>
      <w:r w:rsidR="00524F40">
        <w:t>was to study abort gap clea</w:t>
      </w:r>
      <w:r w:rsidR="00AC6F4B">
        <w:t>ning at flattop</w:t>
      </w:r>
      <w:r>
        <w:t>. The initial emittance</w:t>
      </w:r>
      <w:r w:rsidR="00DE335F">
        <w:t>s</w:t>
      </w:r>
      <w:r w:rsidR="00AC6F4B">
        <w:t xml:space="preserve"> from the wire scanners at 450 GeV</w:t>
      </w:r>
      <w:r w:rsidR="009A6CE1">
        <w:t xml:space="preserve"> for this fill</w:t>
      </w:r>
      <w:r w:rsidR="00DE335F">
        <w:t xml:space="preserve"> are summarized in Table 2. </w:t>
      </w:r>
    </w:p>
    <w:p w:rsidR="00DE335F" w:rsidRDefault="00DE335F" w:rsidP="00DE335F">
      <w:pPr>
        <w:pStyle w:val="TableCaption"/>
        <w:rPr>
          <w:kern w:val="16"/>
        </w:rPr>
      </w:pPr>
      <w:r>
        <w:rPr>
          <w:kern w:val="16"/>
        </w:rPr>
        <w:t xml:space="preserve">Table 2: Initial </w:t>
      </w:r>
      <w:r w:rsidR="009521A7">
        <w:rPr>
          <w:kern w:val="16"/>
        </w:rPr>
        <w:t xml:space="preserve"> normalized </w:t>
      </w:r>
      <w:r>
        <w:rPr>
          <w:kern w:val="16"/>
        </w:rPr>
        <w:t>emittances for abort gap cleaning test fill, Fill 2187.</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tblBorders>
        <w:tblLook w:val="0000"/>
      </w:tblPr>
      <w:tblGrid>
        <w:gridCol w:w="675"/>
        <w:gridCol w:w="851"/>
        <w:gridCol w:w="709"/>
      </w:tblGrid>
      <w:tr w:rsidR="003E67C6" w:rsidRPr="00E56880" w:rsidTr="00FC611F">
        <w:trPr>
          <w:trHeight w:val="241"/>
          <w:jc w:val="center"/>
        </w:trPr>
        <w:tc>
          <w:tcPr>
            <w:tcW w:w="675" w:type="dxa"/>
            <w:tcBorders>
              <w:top w:val="single" w:sz="12" w:space="0" w:color="auto"/>
              <w:bottom w:val="single" w:sz="4" w:space="0" w:color="auto"/>
              <w:right w:val="single" w:sz="4" w:space="0" w:color="auto"/>
            </w:tcBorders>
          </w:tcPr>
          <w:p w:rsidR="003E67C6" w:rsidRPr="0098014F" w:rsidRDefault="003E67C6" w:rsidP="003E67C6">
            <w:pPr>
              <w:pStyle w:val="TableCaption"/>
              <w:jc w:val="left"/>
              <w:rPr>
                <w:kern w:val="16"/>
                <w:sz w:val="18"/>
                <w:szCs w:val="18"/>
              </w:rPr>
            </w:pPr>
            <w:r w:rsidRPr="003E67C6">
              <w:rPr>
                <w:rFonts w:ascii="Symbol" w:hAnsi="Symbol"/>
                <w:kern w:val="16"/>
                <w:sz w:val="18"/>
                <w:szCs w:val="18"/>
              </w:rPr>
              <w:t></w:t>
            </w:r>
            <w:r w:rsidRPr="003E67C6">
              <w:rPr>
                <w:kern w:val="16"/>
                <w:sz w:val="18"/>
                <w:szCs w:val="18"/>
                <w:vertAlign w:val="subscript"/>
              </w:rPr>
              <w:t>1H</w:t>
            </w:r>
          </w:p>
        </w:tc>
        <w:tc>
          <w:tcPr>
            <w:tcW w:w="851" w:type="dxa"/>
            <w:tcBorders>
              <w:top w:val="single" w:sz="12" w:space="0" w:color="auto"/>
              <w:bottom w:val="single" w:sz="4" w:space="0" w:color="auto"/>
              <w:right w:val="single" w:sz="4" w:space="0" w:color="auto"/>
            </w:tcBorders>
          </w:tcPr>
          <w:p w:rsidR="003E67C6" w:rsidRDefault="003E67C6" w:rsidP="003E67C6">
            <w:pPr>
              <w:pStyle w:val="TableCaption"/>
              <w:jc w:val="left"/>
              <w:rPr>
                <w:kern w:val="16"/>
                <w:sz w:val="18"/>
                <w:szCs w:val="18"/>
              </w:rPr>
            </w:pPr>
            <w:r>
              <w:rPr>
                <w:kern w:val="16"/>
                <w:sz w:val="18"/>
                <w:szCs w:val="18"/>
              </w:rPr>
              <w:t>[</w:t>
            </w:r>
            <w:r w:rsidRPr="003E67C6">
              <w:rPr>
                <w:rFonts w:ascii="Symbol" w:hAnsi="Symbol"/>
                <w:kern w:val="16"/>
                <w:sz w:val="18"/>
                <w:szCs w:val="18"/>
              </w:rPr>
              <w:t></w:t>
            </w:r>
            <w:r>
              <w:rPr>
                <w:kern w:val="16"/>
                <w:sz w:val="18"/>
                <w:szCs w:val="18"/>
              </w:rPr>
              <w:t>m]</w:t>
            </w:r>
          </w:p>
        </w:tc>
        <w:tc>
          <w:tcPr>
            <w:tcW w:w="709" w:type="dxa"/>
            <w:tcBorders>
              <w:top w:val="single" w:sz="12" w:space="0" w:color="auto"/>
              <w:left w:val="single" w:sz="4" w:space="0" w:color="auto"/>
              <w:bottom w:val="single" w:sz="4" w:space="0" w:color="auto"/>
            </w:tcBorders>
          </w:tcPr>
          <w:p w:rsidR="003E67C6" w:rsidRPr="003C52DD" w:rsidRDefault="003E67C6" w:rsidP="003E67C6">
            <w:pPr>
              <w:pStyle w:val="TableCaption"/>
              <w:jc w:val="left"/>
              <w:rPr>
                <w:kern w:val="16"/>
                <w:sz w:val="18"/>
                <w:szCs w:val="18"/>
              </w:rPr>
            </w:pPr>
            <w:r>
              <w:rPr>
                <w:kern w:val="16"/>
                <w:sz w:val="18"/>
                <w:szCs w:val="18"/>
              </w:rPr>
              <w:t>1.6</w:t>
            </w:r>
          </w:p>
        </w:tc>
      </w:tr>
      <w:tr w:rsidR="003E67C6" w:rsidRPr="00E56880" w:rsidTr="00FC611F">
        <w:trPr>
          <w:jc w:val="center"/>
        </w:trPr>
        <w:tc>
          <w:tcPr>
            <w:tcW w:w="675" w:type="dxa"/>
            <w:tcBorders>
              <w:top w:val="single" w:sz="4" w:space="0" w:color="auto"/>
              <w:right w:val="single" w:sz="4" w:space="0" w:color="auto"/>
            </w:tcBorders>
          </w:tcPr>
          <w:p w:rsidR="003E67C6" w:rsidRPr="0098014F" w:rsidRDefault="00FC611F" w:rsidP="003E67C6">
            <w:pPr>
              <w:pStyle w:val="TableCaption"/>
              <w:jc w:val="left"/>
              <w:rPr>
                <w:kern w:val="16"/>
                <w:sz w:val="18"/>
                <w:szCs w:val="18"/>
              </w:rPr>
            </w:pPr>
            <w:r w:rsidRPr="003E67C6">
              <w:rPr>
                <w:rFonts w:ascii="Symbol" w:hAnsi="Symbol"/>
                <w:kern w:val="16"/>
                <w:sz w:val="18"/>
                <w:szCs w:val="18"/>
              </w:rPr>
              <w:t></w:t>
            </w:r>
            <w:r w:rsidRPr="003E67C6">
              <w:rPr>
                <w:kern w:val="16"/>
                <w:sz w:val="18"/>
                <w:szCs w:val="18"/>
                <w:vertAlign w:val="subscript"/>
              </w:rPr>
              <w:t>1</w:t>
            </w:r>
            <w:r>
              <w:rPr>
                <w:kern w:val="16"/>
                <w:sz w:val="18"/>
                <w:szCs w:val="18"/>
                <w:vertAlign w:val="subscript"/>
              </w:rPr>
              <w:t>V</w:t>
            </w:r>
          </w:p>
        </w:tc>
        <w:tc>
          <w:tcPr>
            <w:tcW w:w="851" w:type="dxa"/>
            <w:tcBorders>
              <w:top w:val="single" w:sz="4" w:space="0" w:color="auto"/>
              <w:right w:val="single" w:sz="4" w:space="0" w:color="auto"/>
            </w:tcBorders>
          </w:tcPr>
          <w:p w:rsidR="003E67C6" w:rsidRDefault="00FC611F" w:rsidP="003E67C6">
            <w:pPr>
              <w:pStyle w:val="TableCaption"/>
              <w:jc w:val="left"/>
              <w:rPr>
                <w:kern w:val="16"/>
                <w:sz w:val="18"/>
                <w:szCs w:val="18"/>
              </w:rPr>
            </w:pPr>
            <w:r>
              <w:rPr>
                <w:kern w:val="16"/>
                <w:sz w:val="18"/>
                <w:szCs w:val="18"/>
              </w:rPr>
              <w:t>[</w:t>
            </w:r>
            <w:r w:rsidRPr="003E67C6">
              <w:rPr>
                <w:rFonts w:ascii="Symbol" w:hAnsi="Symbol"/>
                <w:kern w:val="16"/>
                <w:sz w:val="18"/>
                <w:szCs w:val="18"/>
              </w:rPr>
              <w:t></w:t>
            </w:r>
            <w:r>
              <w:rPr>
                <w:kern w:val="16"/>
                <w:sz w:val="18"/>
                <w:szCs w:val="18"/>
              </w:rPr>
              <w:t>m]</w:t>
            </w:r>
          </w:p>
        </w:tc>
        <w:tc>
          <w:tcPr>
            <w:tcW w:w="709" w:type="dxa"/>
            <w:tcBorders>
              <w:top w:val="single" w:sz="4" w:space="0" w:color="auto"/>
              <w:left w:val="single" w:sz="4" w:space="0" w:color="auto"/>
              <w:bottom w:val="single" w:sz="4" w:space="0" w:color="auto"/>
            </w:tcBorders>
          </w:tcPr>
          <w:p w:rsidR="003E67C6" w:rsidRPr="003C52DD" w:rsidRDefault="00FC611F" w:rsidP="003E67C6">
            <w:pPr>
              <w:pStyle w:val="TableCaption"/>
              <w:jc w:val="left"/>
              <w:rPr>
                <w:kern w:val="16"/>
                <w:sz w:val="18"/>
                <w:szCs w:val="18"/>
              </w:rPr>
            </w:pPr>
            <w:r>
              <w:rPr>
                <w:kern w:val="16"/>
                <w:sz w:val="18"/>
                <w:szCs w:val="18"/>
              </w:rPr>
              <w:t>1.3</w:t>
            </w:r>
          </w:p>
        </w:tc>
      </w:tr>
      <w:tr w:rsidR="003E67C6" w:rsidRPr="00E56880" w:rsidTr="00AC05DF">
        <w:trPr>
          <w:jc w:val="center"/>
        </w:trPr>
        <w:tc>
          <w:tcPr>
            <w:tcW w:w="675" w:type="dxa"/>
            <w:tcBorders>
              <w:right w:val="single" w:sz="4" w:space="0" w:color="auto"/>
            </w:tcBorders>
          </w:tcPr>
          <w:p w:rsidR="003E67C6" w:rsidRDefault="00FC611F" w:rsidP="003E67C6">
            <w:pPr>
              <w:pStyle w:val="TableCaption"/>
              <w:jc w:val="left"/>
              <w:rPr>
                <w:kern w:val="16"/>
                <w:sz w:val="18"/>
                <w:szCs w:val="18"/>
              </w:rPr>
            </w:pPr>
            <w:r w:rsidRPr="003E67C6">
              <w:rPr>
                <w:rFonts w:ascii="Symbol" w:hAnsi="Symbol"/>
                <w:kern w:val="16"/>
                <w:sz w:val="18"/>
                <w:szCs w:val="18"/>
              </w:rPr>
              <w:t></w:t>
            </w:r>
            <w:r>
              <w:rPr>
                <w:kern w:val="16"/>
                <w:sz w:val="18"/>
                <w:szCs w:val="18"/>
                <w:vertAlign w:val="subscript"/>
              </w:rPr>
              <w:t>2</w:t>
            </w:r>
            <w:r w:rsidRPr="003E67C6">
              <w:rPr>
                <w:kern w:val="16"/>
                <w:sz w:val="18"/>
                <w:szCs w:val="18"/>
                <w:vertAlign w:val="subscript"/>
              </w:rPr>
              <w:t>H</w:t>
            </w:r>
          </w:p>
        </w:tc>
        <w:tc>
          <w:tcPr>
            <w:tcW w:w="851" w:type="dxa"/>
            <w:tcBorders>
              <w:right w:val="single" w:sz="4" w:space="0" w:color="auto"/>
            </w:tcBorders>
          </w:tcPr>
          <w:p w:rsidR="003E67C6" w:rsidRDefault="00FC611F" w:rsidP="003E67C6">
            <w:pPr>
              <w:pStyle w:val="TableCaption"/>
              <w:jc w:val="left"/>
              <w:rPr>
                <w:kern w:val="16"/>
                <w:sz w:val="18"/>
                <w:szCs w:val="18"/>
              </w:rPr>
            </w:pPr>
            <w:r>
              <w:rPr>
                <w:kern w:val="16"/>
                <w:sz w:val="18"/>
                <w:szCs w:val="18"/>
              </w:rPr>
              <w:t>[</w:t>
            </w:r>
            <w:r w:rsidRPr="003E67C6">
              <w:rPr>
                <w:rFonts w:ascii="Symbol" w:hAnsi="Symbol"/>
                <w:kern w:val="16"/>
                <w:sz w:val="18"/>
                <w:szCs w:val="18"/>
              </w:rPr>
              <w:t></w:t>
            </w:r>
            <w:r>
              <w:rPr>
                <w:kern w:val="16"/>
                <w:sz w:val="18"/>
                <w:szCs w:val="18"/>
              </w:rPr>
              <w:t>m]</w:t>
            </w:r>
          </w:p>
        </w:tc>
        <w:tc>
          <w:tcPr>
            <w:tcW w:w="709" w:type="dxa"/>
            <w:tcBorders>
              <w:top w:val="single" w:sz="4" w:space="0" w:color="auto"/>
              <w:left w:val="single" w:sz="4" w:space="0" w:color="auto"/>
              <w:bottom w:val="single" w:sz="4" w:space="0" w:color="auto"/>
            </w:tcBorders>
          </w:tcPr>
          <w:p w:rsidR="003E67C6" w:rsidRDefault="00FC611F" w:rsidP="003E67C6">
            <w:pPr>
              <w:pStyle w:val="TableCaption"/>
              <w:jc w:val="left"/>
              <w:rPr>
                <w:kern w:val="16"/>
                <w:sz w:val="18"/>
                <w:szCs w:val="18"/>
              </w:rPr>
            </w:pPr>
            <w:r>
              <w:rPr>
                <w:kern w:val="16"/>
                <w:sz w:val="18"/>
                <w:szCs w:val="18"/>
              </w:rPr>
              <w:t>1.6</w:t>
            </w:r>
          </w:p>
        </w:tc>
      </w:tr>
      <w:tr w:rsidR="003E67C6" w:rsidRPr="00E56880" w:rsidTr="00AC05DF">
        <w:trPr>
          <w:jc w:val="center"/>
        </w:trPr>
        <w:tc>
          <w:tcPr>
            <w:tcW w:w="675" w:type="dxa"/>
            <w:tcBorders>
              <w:right w:val="single" w:sz="4" w:space="0" w:color="auto"/>
            </w:tcBorders>
          </w:tcPr>
          <w:p w:rsidR="003E67C6" w:rsidRPr="0098014F" w:rsidRDefault="00FC611F" w:rsidP="003E67C6">
            <w:pPr>
              <w:pStyle w:val="TableCaption"/>
              <w:jc w:val="left"/>
              <w:rPr>
                <w:kern w:val="16"/>
                <w:sz w:val="18"/>
                <w:szCs w:val="18"/>
              </w:rPr>
            </w:pPr>
            <w:r w:rsidRPr="003E67C6">
              <w:rPr>
                <w:rFonts w:ascii="Symbol" w:hAnsi="Symbol"/>
                <w:kern w:val="16"/>
                <w:sz w:val="18"/>
                <w:szCs w:val="18"/>
              </w:rPr>
              <w:t></w:t>
            </w:r>
            <w:r>
              <w:rPr>
                <w:kern w:val="16"/>
                <w:sz w:val="18"/>
                <w:szCs w:val="18"/>
                <w:vertAlign w:val="subscript"/>
              </w:rPr>
              <w:t>2V</w:t>
            </w:r>
          </w:p>
        </w:tc>
        <w:tc>
          <w:tcPr>
            <w:tcW w:w="851" w:type="dxa"/>
            <w:tcBorders>
              <w:right w:val="single" w:sz="4" w:space="0" w:color="auto"/>
            </w:tcBorders>
          </w:tcPr>
          <w:p w:rsidR="003E67C6" w:rsidRDefault="00FC611F" w:rsidP="003E67C6">
            <w:pPr>
              <w:pStyle w:val="TableCaption"/>
              <w:jc w:val="left"/>
              <w:rPr>
                <w:kern w:val="16"/>
                <w:sz w:val="18"/>
                <w:szCs w:val="18"/>
              </w:rPr>
            </w:pPr>
            <w:r>
              <w:rPr>
                <w:kern w:val="16"/>
                <w:sz w:val="18"/>
                <w:szCs w:val="18"/>
              </w:rPr>
              <w:t>[</w:t>
            </w:r>
            <w:r w:rsidRPr="003E67C6">
              <w:rPr>
                <w:rFonts w:ascii="Symbol" w:hAnsi="Symbol"/>
                <w:kern w:val="16"/>
                <w:sz w:val="18"/>
                <w:szCs w:val="18"/>
              </w:rPr>
              <w:t></w:t>
            </w:r>
            <w:r>
              <w:rPr>
                <w:kern w:val="16"/>
                <w:sz w:val="18"/>
                <w:szCs w:val="18"/>
              </w:rPr>
              <w:t>m]</w:t>
            </w:r>
          </w:p>
        </w:tc>
        <w:tc>
          <w:tcPr>
            <w:tcW w:w="709" w:type="dxa"/>
            <w:tcBorders>
              <w:top w:val="single" w:sz="4" w:space="0" w:color="auto"/>
              <w:left w:val="single" w:sz="4" w:space="0" w:color="auto"/>
              <w:bottom w:val="single" w:sz="12" w:space="0" w:color="auto"/>
            </w:tcBorders>
          </w:tcPr>
          <w:p w:rsidR="003E67C6" w:rsidRPr="003C52DD" w:rsidRDefault="00FC611F" w:rsidP="003E67C6">
            <w:pPr>
              <w:pStyle w:val="TableCaption"/>
              <w:jc w:val="left"/>
              <w:rPr>
                <w:kern w:val="16"/>
                <w:sz w:val="18"/>
                <w:szCs w:val="18"/>
              </w:rPr>
            </w:pPr>
            <w:r>
              <w:rPr>
                <w:kern w:val="16"/>
                <w:sz w:val="18"/>
                <w:szCs w:val="18"/>
              </w:rPr>
              <w:t>1.4</w:t>
            </w:r>
          </w:p>
        </w:tc>
      </w:tr>
    </w:tbl>
    <w:p w:rsidR="00DE335F" w:rsidRDefault="00DE335F" w:rsidP="004A06FB">
      <w:pPr>
        <w:pStyle w:val="BodyTextIndent"/>
      </w:pPr>
    </w:p>
    <w:p w:rsidR="00106196" w:rsidRDefault="00FA415F" w:rsidP="00FC611F">
      <w:pPr>
        <w:pStyle w:val="BodyTextIndent"/>
        <w:ind w:firstLine="0"/>
      </w:pPr>
      <w:r>
        <w:t xml:space="preserve">All wire scan measurements </w:t>
      </w:r>
      <w:r w:rsidR="00041C04">
        <w:t xml:space="preserve">during the ramp </w:t>
      </w:r>
      <w:r>
        <w:t>were re-fitted offline and the measured beta function</w:t>
      </w:r>
      <w:r w:rsidR="00FC611F">
        <w:t>s at the wire scanners were</w:t>
      </w:r>
      <w:r>
        <w:t xml:space="preserve"> used</w:t>
      </w:r>
      <w:r w:rsidR="00FC611F">
        <w:t xml:space="preserve"> to calculate the emittance</w:t>
      </w:r>
      <w:r>
        <w:t>. Beta measurements are avail</w:t>
      </w:r>
      <w:r w:rsidR="00D867AC">
        <w:t>able at 450 GeV and 3.5 TeV. L</w:t>
      </w:r>
      <w:r>
        <w:t>inear</w:t>
      </w:r>
      <w:r w:rsidR="00D867AC">
        <w:t xml:space="preserve"> interpolation for the </w:t>
      </w:r>
      <w:r>
        <w:t xml:space="preserve">beta </w:t>
      </w:r>
      <w:r w:rsidR="00D867AC">
        <w:t xml:space="preserve">function </w:t>
      </w:r>
      <w:r>
        <w:t>was used for an</w:t>
      </w:r>
      <w:r w:rsidR="00AC6F4B">
        <w:t>y</w:t>
      </w:r>
      <w:r>
        <w:t xml:space="preserve"> en</w:t>
      </w:r>
      <w:r w:rsidR="0060317B">
        <w:t>ergy in between</w:t>
      </w:r>
      <w:r w:rsidR="00B86677">
        <w:t>. Fig. 13 and Fig. 14</w:t>
      </w:r>
      <w:r>
        <w:t xml:space="preserve"> show the results of the emittanc</w:t>
      </w:r>
      <w:r w:rsidR="00D867AC">
        <w:t>e growth for beam 1 and beam 2</w:t>
      </w:r>
      <w:r>
        <w:t xml:space="preserve">. </w:t>
      </w:r>
      <w:r w:rsidR="00D51DFA">
        <w:t>The measurements i</w:t>
      </w:r>
      <w:r w:rsidR="00AC6F4B">
        <w:t xml:space="preserve">ndicated an emittance blow-up of about </w:t>
      </w:r>
      <w:r w:rsidR="0079125D">
        <w:br/>
      </w:r>
      <w:r w:rsidR="00D51DFA">
        <w:t>20 % for both beams and both planes</w:t>
      </w:r>
      <w:r w:rsidR="00D867AC">
        <w:t xml:space="preserve"> during the ramp</w:t>
      </w:r>
      <w:r w:rsidR="00D51DFA">
        <w:t>.</w:t>
      </w:r>
    </w:p>
    <w:p w:rsidR="002113E0" w:rsidRPr="004A06FB" w:rsidRDefault="002113E0" w:rsidP="007048EC">
      <w:pPr>
        <w:pStyle w:val="BodyTextIndent"/>
        <w:ind w:firstLine="0"/>
      </w:pPr>
      <w:r>
        <w:rPr>
          <w:noProof/>
          <w:lang w:val="en-US"/>
        </w:rPr>
        <w:drawing>
          <wp:inline distT="0" distB="0" distL="0" distR="0">
            <wp:extent cx="2968625" cy="1979295"/>
            <wp:effectExtent l="19050" t="0" r="3175" b="0"/>
            <wp:docPr id="20" name="Picture 19" descr="WS_beam1_AGC_fill2187_beatcorrectedFT_with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beam1_AGC_fill2187_beatcorrectedFT_withError.png"/>
                    <pic:cNvPicPr/>
                  </pic:nvPicPr>
                  <pic:blipFill>
                    <a:blip r:embed="rId20" cstate="print"/>
                    <a:stretch>
                      <a:fillRect/>
                    </a:stretch>
                  </pic:blipFill>
                  <pic:spPr>
                    <a:xfrm>
                      <a:off x="0" y="0"/>
                      <a:ext cx="2968625" cy="1979295"/>
                    </a:xfrm>
                    <a:prstGeom prst="rect">
                      <a:avLst/>
                    </a:prstGeom>
                  </pic:spPr>
                </pic:pic>
              </a:graphicData>
            </a:graphic>
          </wp:inline>
        </w:drawing>
      </w:r>
    </w:p>
    <w:p w:rsidR="004A06FB" w:rsidRDefault="007048EC" w:rsidP="0079125D">
      <w:pPr>
        <w:pStyle w:val="BodyTextIndent"/>
        <w:jc w:val="center"/>
        <w:rPr>
          <w:kern w:val="16"/>
        </w:rPr>
      </w:pPr>
      <w:r>
        <w:rPr>
          <w:kern w:val="16"/>
        </w:rPr>
        <w:t>Figure 13: Emittance growth during fill 2187 measured with wire scanners for beam 1. 36 bunches per ring.</w:t>
      </w:r>
    </w:p>
    <w:p w:rsidR="00F57EC3" w:rsidRDefault="002113E0" w:rsidP="007048EC">
      <w:pPr>
        <w:pStyle w:val="BodyTextIndent"/>
        <w:ind w:firstLine="0"/>
        <w:rPr>
          <w:kern w:val="16"/>
        </w:rPr>
      </w:pPr>
      <w:r>
        <w:rPr>
          <w:noProof/>
          <w:kern w:val="16"/>
          <w:lang w:val="en-US"/>
        </w:rPr>
        <w:lastRenderedPageBreak/>
        <w:drawing>
          <wp:inline distT="0" distB="0" distL="0" distR="0">
            <wp:extent cx="2968625" cy="1979295"/>
            <wp:effectExtent l="19050" t="0" r="3175" b="0"/>
            <wp:docPr id="21" name="Picture 20" descr="WS_beam2_AGC_fill2187_beatcorrectedFT_with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beam2_AGC_fill2187_beatcorrectedFT_withError.png"/>
                    <pic:cNvPicPr/>
                  </pic:nvPicPr>
                  <pic:blipFill>
                    <a:blip r:embed="rId21" cstate="print"/>
                    <a:stretch>
                      <a:fillRect/>
                    </a:stretch>
                  </pic:blipFill>
                  <pic:spPr>
                    <a:xfrm>
                      <a:off x="0" y="0"/>
                      <a:ext cx="2968625" cy="1979295"/>
                    </a:xfrm>
                    <a:prstGeom prst="rect">
                      <a:avLst/>
                    </a:prstGeom>
                  </pic:spPr>
                </pic:pic>
              </a:graphicData>
            </a:graphic>
          </wp:inline>
        </w:drawing>
      </w:r>
    </w:p>
    <w:p w:rsidR="00DC16FB" w:rsidRDefault="00B677B1" w:rsidP="0079125D">
      <w:pPr>
        <w:pStyle w:val="BodyTextIndent"/>
        <w:jc w:val="center"/>
        <w:rPr>
          <w:kern w:val="16"/>
        </w:rPr>
      </w:pPr>
      <w:r>
        <w:rPr>
          <w:kern w:val="16"/>
        </w:rPr>
        <w:t>Figure 14: Emittance growth during fill 2187 measured with wire scanners for beam 2. 36 bunches per ring.</w:t>
      </w:r>
    </w:p>
    <w:p w:rsidR="00B677B1" w:rsidRDefault="00B677B1" w:rsidP="00165665">
      <w:pPr>
        <w:pStyle w:val="BodyTextIndent"/>
        <w:rPr>
          <w:kern w:val="16"/>
        </w:rPr>
      </w:pPr>
    </w:p>
    <w:p w:rsidR="007A0521" w:rsidRDefault="00DC16FB" w:rsidP="00165665">
      <w:pPr>
        <w:pStyle w:val="BodyTextIndent"/>
        <w:rPr>
          <w:kern w:val="16"/>
        </w:rPr>
      </w:pPr>
      <w:r>
        <w:rPr>
          <w:kern w:val="16"/>
        </w:rPr>
        <w:t xml:space="preserve">There was also another occasion where wire scans </w:t>
      </w:r>
      <w:r w:rsidR="007A0521">
        <w:rPr>
          <w:kern w:val="16"/>
        </w:rPr>
        <w:t xml:space="preserve">could be carried </w:t>
      </w:r>
      <w:r>
        <w:rPr>
          <w:kern w:val="16"/>
        </w:rPr>
        <w:t>out during the ramp.</w:t>
      </w:r>
      <w:r w:rsidR="007A0521">
        <w:rPr>
          <w:kern w:val="16"/>
        </w:rPr>
        <w:t xml:space="preserve"> During the BI MD of the last MD block</w:t>
      </w:r>
      <w:r>
        <w:rPr>
          <w:kern w:val="16"/>
        </w:rPr>
        <w:t xml:space="preserve"> in 2011</w:t>
      </w:r>
      <w:r w:rsidR="007A0521">
        <w:rPr>
          <w:kern w:val="16"/>
        </w:rPr>
        <w:t>, 4 bunches per ring were ramped with different emittances</w:t>
      </w:r>
      <w:r w:rsidR="00462016">
        <w:rPr>
          <w:kern w:val="16"/>
        </w:rPr>
        <w:t xml:space="preserve">. 2 bunches had </w:t>
      </w:r>
      <w:r w:rsidR="007A0521">
        <w:rPr>
          <w:kern w:val="16"/>
        </w:rPr>
        <w:t xml:space="preserve">large emittances (&gt; 3.5 </w:t>
      </w:r>
      <w:r w:rsidR="007A0521" w:rsidRPr="00DC16FB">
        <w:rPr>
          <w:rFonts w:ascii="Symbol" w:hAnsi="Symbol"/>
          <w:kern w:val="16"/>
        </w:rPr>
        <w:t></w:t>
      </w:r>
      <w:r w:rsidR="007A0521">
        <w:rPr>
          <w:kern w:val="16"/>
        </w:rPr>
        <w:t>m) and 2 bunc</w:t>
      </w:r>
      <w:r w:rsidR="00462016">
        <w:rPr>
          <w:kern w:val="16"/>
        </w:rPr>
        <w:t xml:space="preserve">hes </w:t>
      </w:r>
      <w:r>
        <w:rPr>
          <w:kern w:val="16"/>
        </w:rPr>
        <w:t>small emittances (~ 1.</w:t>
      </w:r>
      <w:r w:rsidR="007A0521">
        <w:rPr>
          <w:kern w:val="16"/>
        </w:rPr>
        <w:t xml:space="preserve">5 </w:t>
      </w:r>
      <w:r w:rsidR="007A0521" w:rsidRPr="00DC16FB">
        <w:rPr>
          <w:rFonts w:ascii="Symbol" w:hAnsi="Symbol"/>
          <w:kern w:val="16"/>
        </w:rPr>
        <w:t></w:t>
      </w:r>
      <w:r w:rsidR="007A0521">
        <w:rPr>
          <w:kern w:val="16"/>
        </w:rPr>
        <w:t>m). The large</w:t>
      </w:r>
      <w:r>
        <w:rPr>
          <w:kern w:val="16"/>
        </w:rPr>
        <w:t>r</w:t>
      </w:r>
      <w:r w:rsidR="00462016">
        <w:rPr>
          <w:kern w:val="16"/>
        </w:rPr>
        <w:t xml:space="preserve"> emittances had been</w:t>
      </w:r>
      <w:r w:rsidR="007A0521">
        <w:rPr>
          <w:kern w:val="16"/>
        </w:rPr>
        <w:t xml:space="preserve"> obtained by inserting screens in the SPS injection line.  Unfortunately only d</w:t>
      </w:r>
      <w:r w:rsidR="00B86677">
        <w:rPr>
          <w:kern w:val="16"/>
        </w:rPr>
        <w:t>ata for beam 2 could be recorded</w:t>
      </w:r>
      <w:r w:rsidR="007A0521">
        <w:rPr>
          <w:kern w:val="16"/>
        </w:rPr>
        <w:t>. The beam 1 wire sca</w:t>
      </w:r>
      <w:r w:rsidR="00063F74">
        <w:rPr>
          <w:kern w:val="16"/>
        </w:rPr>
        <w:t>nner had a timing issue</w:t>
      </w:r>
      <w:r w:rsidR="007A0521">
        <w:rPr>
          <w:kern w:val="16"/>
        </w:rPr>
        <w:t xml:space="preserve">. </w:t>
      </w:r>
      <w:r w:rsidR="002C6CA9">
        <w:rPr>
          <w:kern w:val="16"/>
        </w:rPr>
        <w:t xml:space="preserve">The results </w:t>
      </w:r>
      <w:r w:rsidR="00462016">
        <w:rPr>
          <w:kern w:val="16"/>
        </w:rPr>
        <w:t xml:space="preserve">for beam 2 </w:t>
      </w:r>
      <w:r w:rsidR="00B86677">
        <w:rPr>
          <w:kern w:val="16"/>
        </w:rPr>
        <w:t>are shown in Fig. 15 and Fig. 16</w:t>
      </w:r>
      <w:r w:rsidR="002C6CA9">
        <w:rPr>
          <w:kern w:val="16"/>
        </w:rPr>
        <w:t xml:space="preserve">. </w:t>
      </w:r>
      <w:r w:rsidR="00462016">
        <w:rPr>
          <w:kern w:val="16"/>
        </w:rPr>
        <w:t>Interestingly t</w:t>
      </w:r>
      <w:r w:rsidR="002C6CA9">
        <w:rPr>
          <w:kern w:val="16"/>
        </w:rPr>
        <w:t xml:space="preserve">he relative growth for the different emittances is significantly different, however in absolute the emittances grow by the same amount. In the horizontal plane the emittances grew by about </w:t>
      </w:r>
      <w:r w:rsidR="002C6CA9" w:rsidRPr="00462016">
        <w:rPr>
          <w:rFonts w:ascii="Symbol" w:hAnsi="Symbol"/>
          <w:kern w:val="16"/>
        </w:rPr>
        <w:t></w:t>
      </w:r>
      <w:r w:rsidR="002C6CA9" w:rsidRPr="00462016">
        <w:rPr>
          <w:rFonts w:ascii="Symbol" w:hAnsi="Symbol"/>
          <w:kern w:val="16"/>
        </w:rPr>
        <w:t></w:t>
      </w:r>
      <w:r w:rsidR="002C6CA9">
        <w:rPr>
          <w:kern w:val="16"/>
        </w:rPr>
        <w:t xml:space="preserve"> ≈ 1 </w:t>
      </w:r>
      <w:r w:rsidR="002C6CA9" w:rsidRPr="00462016">
        <w:rPr>
          <w:rFonts w:ascii="Symbol" w:hAnsi="Symbol"/>
          <w:kern w:val="16"/>
        </w:rPr>
        <w:t></w:t>
      </w:r>
      <w:r w:rsidR="002C6CA9">
        <w:rPr>
          <w:kern w:val="16"/>
        </w:rPr>
        <w:t xml:space="preserve">m and in the vertical plane the emittance grew by about </w:t>
      </w:r>
      <w:r w:rsidR="002C6CA9" w:rsidRPr="00462016">
        <w:rPr>
          <w:rFonts w:ascii="Symbol" w:hAnsi="Symbol"/>
          <w:kern w:val="16"/>
        </w:rPr>
        <w:t></w:t>
      </w:r>
      <w:r w:rsidR="002C6CA9" w:rsidRPr="00462016">
        <w:rPr>
          <w:rFonts w:ascii="Symbol" w:hAnsi="Symbol"/>
          <w:kern w:val="16"/>
        </w:rPr>
        <w:t></w:t>
      </w:r>
      <w:r w:rsidR="002C6CA9">
        <w:rPr>
          <w:kern w:val="16"/>
        </w:rPr>
        <w:t xml:space="preserve">  ≈  0.7 </w:t>
      </w:r>
      <w:r w:rsidR="002C6CA9" w:rsidRPr="00462016">
        <w:rPr>
          <w:rFonts w:ascii="Symbol" w:hAnsi="Symbol"/>
          <w:kern w:val="16"/>
        </w:rPr>
        <w:t></w:t>
      </w:r>
      <w:r w:rsidR="002C6CA9">
        <w:rPr>
          <w:kern w:val="16"/>
        </w:rPr>
        <w:t>m</w:t>
      </w:r>
      <w:r w:rsidR="002B6D03">
        <w:rPr>
          <w:kern w:val="16"/>
        </w:rPr>
        <w:t xml:space="preserve"> during the ramp</w:t>
      </w:r>
      <w:r w:rsidR="002C6CA9">
        <w:rPr>
          <w:kern w:val="16"/>
        </w:rPr>
        <w:t xml:space="preserve">. </w:t>
      </w:r>
    </w:p>
    <w:p w:rsidR="007A0521" w:rsidRDefault="002C6CA9" w:rsidP="00A042BE">
      <w:pPr>
        <w:pStyle w:val="BodyTextIndent"/>
        <w:ind w:firstLine="0"/>
        <w:rPr>
          <w:kern w:val="16"/>
        </w:rPr>
      </w:pPr>
      <w:r>
        <w:rPr>
          <w:noProof/>
          <w:kern w:val="16"/>
          <w:lang w:val="en-US"/>
        </w:rPr>
        <w:drawing>
          <wp:inline distT="0" distB="0" distL="0" distR="0">
            <wp:extent cx="2968625" cy="1979295"/>
            <wp:effectExtent l="19050" t="0" r="3175" b="0"/>
            <wp:docPr id="22" name="Picture 21" descr="WS_beam2_H_BI-MD_fill2279_betacorrected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beam2_H_BI-MD_fill2279_betacorrectedFT.png"/>
                    <pic:cNvPicPr/>
                  </pic:nvPicPr>
                  <pic:blipFill>
                    <a:blip r:embed="rId22" cstate="print"/>
                    <a:stretch>
                      <a:fillRect/>
                    </a:stretch>
                  </pic:blipFill>
                  <pic:spPr>
                    <a:xfrm>
                      <a:off x="0" y="0"/>
                      <a:ext cx="2968625" cy="1979295"/>
                    </a:xfrm>
                    <a:prstGeom prst="rect">
                      <a:avLst/>
                    </a:prstGeom>
                  </pic:spPr>
                </pic:pic>
              </a:graphicData>
            </a:graphic>
          </wp:inline>
        </w:drawing>
      </w:r>
    </w:p>
    <w:p w:rsidR="0005332B" w:rsidRDefault="0005332B" w:rsidP="0079125D">
      <w:pPr>
        <w:pStyle w:val="BodyTextIndent"/>
        <w:jc w:val="center"/>
        <w:rPr>
          <w:kern w:val="16"/>
        </w:rPr>
      </w:pPr>
      <w:r>
        <w:rPr>
          <w:kern w:val="16"/>
        </w:rPr>
        <w:t>Figure 15: Relative emittance growth for different initial emittances for BI MD test ramp</w:t>
      </w:r>
      <w:r w:rsidR="006F5F9D">
        <w:rPr>
          <w:kern w:val="16"/>
        </w:rPr>
        <w:t>,</w:t>
      </w:r>
      <w:r>
        <w:rPr>
          <w:kern w:val="16"/>
        </w:rPr>
        <w:t xml:space="preserve"> beam 2 H.</w:t>
      </w:r>
    </w:p>
    <w:p w:rsidR="0005332B" w:rsidRDefault="0005332B" w:rsidP="00A042BE">
      <w:pPr>
        <w:pStyle w:val="BodyTextIndent"/>
        <w:ind w:firstLine="0"/>
        <w:rPr>
          <w:kern w:val="16"/>
        </w:rPr>
      </w:pPr>
    </w:p>
    <w:p w:rsidR="007A0521" w:rsidRDefault="002C6CA9" w:rsidP="00A042BE">
      <w:pPr>
        <w:pStyle w:val="BodyTextIndent"/>
        <w:ind w:firstLine="0"/>
        <w:rPr>
          <w:kern w:val="16"/>
        </w:rPr>
      </w:pPr>
      <w:r>
        <w:rPr>
          <w:noProof/>
          <w:kern w:val="16"/>
          <w:lang w:val="en-US"/>
        </w:rPr>
        <w:lastRenderedPageBreak/>
        <w:drawing>
          <wp:inline distT="0" distB="0" distL="0" distR="0">
            <wp:extent cx="2968625" cy="1979295"/>
            <wp:effectExtent l="19050" t="0" r="3175" b="0"/>
            <wp:docPr id="24" name="Picture 23" descr="WS_beam2_V_BI-MD_fill2279_betacorrected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beam2_V_BI-MD_fill2279_betacorrectedFT.png"/>
                    <pic:cNvPicPr/>
                  </pic:nvPicPr>
                  <pic:blipFill>
                    <a:blip r:embed="rId23" cstate="print"/>
                    <a:stretch>
                      <a:fillRect/>
                    </a:stretch>
                  </pic:blipFill>
                  <pic:spPr>
                    <a:xfrm>
                      <a:off x="0" y="0"/>
                      <a:ext cx="2968625" cy="1979295"/>
                    </a:xfrm>
                    <a:prstGeom prst="rect">
                      <a:avLst/>
                    </a:prstGeom>
                  </pic:spPr>
                </pic:pic>
              </a:graphicData>
            </a:graphic>
          </wp:inline>
        </w:drawing>
      </w:r>
    </w:p>
    <w:p w:rsidR="0005332B" w:rsidRDefault="0005332B" w:rsidP="0005332B">
      <w:pPr>
        <w:pStyle w:val="BodyTextIndent"/>
        <w:rPr>
          <w:kern w:val="16"/>
        </w:rPr>
      </w:pPr>
      <w:r>
        <w:rPr>
          <w:kern w:val="16"/>
        </w:rPr>
        <w:t>Figure 16: Relative emittance growth for different initial emittances for BI MD test ramp</w:t>
      </w:r>
      <w:r w:rsidR="006F5F9D">
        <w:rPr>
          <w:kern w:val="16"/>
        </w:rPr>
        <w:t>,</w:t>
      </w:r>
      <w:r>
        <w:rPr>
          <w:kern w:val="16"/>
        </w:rPr>
        <w:t xml:space="preserve"> beam 2 V.</w:t>
      </w:r>
    </w:p>
    <w:p w:rsidR="0005332B" w:rsidRDefault="0005332B" w:rsidP="00A042BE">
      <w:pPr>
        <w:pStyle w:val="BodyTextIndent"/>
        <w:ind w:firstLine="0"/>
        <w:rPr>
          <w:kern w:val="16"/>
        </w:rPr>
      </w:pPr>
    </w:p>
    <w:p w:rsidR="00462AFC" w:rsidRDefault="00462AFC" w:rsidP="00462AFC">
      <w:pPr>
        <w:pStyle w:val="Heading2"/>
        <w:spacing w:before="180"/>
      </w:pPr>
      <w:r>
        <w:t>Emittanc</w:t>
      </w:r>
      <w:r w:rsidR="00FD53A1">
        <w:t xml:space="preserve">e growtH </w:t>
      </w:r>
      <w:r>
        <w:t>at flattop</w:t>
      </w:r>
    </w:p>
    <w:p w:rsidR="00277B6C" w:rsidRDefault="00277B6C" w:rsidP="00277B6C">
      <w:pPr>
        <w:pStyle w:val="BodyTextIndent"/>
      </w:pPr>
      <w:r>
        <w:t>At flattop with con</w:t>
      </w:r>
      <w:r w:rsidR="003714A2">
        <w:t xml:space="preserve">stant energy, the BSRT is </w:t>
      </w:r>
      <w:r>
        <w:t xml:space="preserve">the obvious device to study the emittance evolution. </w:t>
      </w:r>
      <w:r w:rsidR="005C1AB5">
        <w:t xml:space="preserve">Off-line the data </w:t>
      </w:r>
      <w:r w:rsidR="00462016">
        <w:t xml:space="preserve">of the abort gap test fill, Fill 2187, </w:t>
      </w:r>
      <w:r w:rsidR="005C1AB5">
        <w:t>was averaged per batch (avera</w:t>
      </w:r>
      <w:r w:rsidR="003714A2">
        <w:t>ge over 12 bunches</w:t>
      </w:r>
      <w:r w:rsidR="00462016">
        <w:t>). The evolution of the average emittances per batch</w:t>
      </w:r>
      <w:r w:rsidR="00B86677">
        <w:t xml:space="preserve"> for </w:t>
      </w:r>
      <w:r w:rsidR="00536D4D">
        <w:t>beam 1 and beam 2</w:t>
      </w:r>
      <w:r w:rsidR="00D13FE8">
        <w:t xml:space="preserve"> is shown in Fig. 17 and Fig. 18</w:t>
      </w:r>
      <w:r w:rsidR="00462016">
        <w:t xml:space="preserve">. </w:t>
      </w:r>
      <w:r w:rsidR="005C1AB5">
        <w:t xml:space="preserve"> </w:t>
      </w:r>
    </w:p>
    <w:p w:rsidR="00FE558C" w:rsidRDefault="005C1AB5" w:rsidP="0005332B">
      <w:pPr>
        <w:pStyle w:val="BodyTextIndent"/>
        <w:ind w:firstLine="0"/>
      </w:pPr>
      <w:r>
        <w:rPr>
          <w:noProof/>
          <w:lang w:val="en-US"/>
        </w:rPr>
        <w:drawing>
          <wp:inline distT="0" distB="0" distL="0" distR="0">
            <wp:extent cx="3161209" cy="1806116"/>
            <wp:effectExtent l="19050" t="0" r="1091" b="0"/>
            <wp:docPr id="25" name="Picture 24" descr="BSRT_beam1_AGC_2187_flat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RT_beam1_AGC_2187_flattop.png"/>
                    <pic:cNvPicPr/>
                  </pic:nvPicPr>
                  <pic:blipFill>
                    <a:blip r:embed="rId24" cstate="print"/>
                    <a:stretch>
                      <a:fillRect/>
                    </a:stretch>
                  </pic:blipFill>
                  <pic:spPr>
                    <a:xfrm>
                      <a:off x="0" y="0"/>
                      <a:ext cx="3162394" cy="1806793"/>
                    </a:xfrm>
                    <a:prstGeom prst="rect">
                      <a:avLst/>
                    </a:prstGeom>
                  </pic:spPr>
                </pic:pic>
              </a:graphicData>
            </a:graphic>
          </wp:inline>
        </w:drawing>
      </w:r>
    </w:p>
    <w:p w:rsidR="006F5F9D" w:rsidRDefault="006F5F9D" w:rsidP="0079125D">
      <w:pPr>
        <w:pStyle w:val="BodyTextIndent"/>
        <w:jc w:val="center"/>
        <w:rPr>
          <w:kern w:val="16"/>
        </w:rPr>
      </w:pPr>
      <w:r>
        <w:rPr>
          <w:kern w:val="16"/>
        </w:rPr>
        <w:t>Figure 17: Relative emittance growth for different batches after ramp and during squeeze for Fill 2187, beam 1.</w:t>
      </w:r>
    </w:p>
    <w:p w:rsidR="006F5F9D" w:rsidRDefault="006F5F9D" w:rsidP="0005332B">
      <w:pPr>
        <w:pStyle w:val="BodyTextIndent"/>
        <w:ind w:firstLine="0"/>
      </w:pPr>
    </w:p>
    <w:p w:rsidR="00FE558C" w:rsidRDefault="00FE558C" w:rsidP="007A0349">
      <w:pPr>
        <w:pStyle w:val="BodyTextIndent"/>
        <w:ind w:firstLine="0"/>
      </w:pPr>
    </w:p>
    <w:p w:rsidR="00FE558C" w:rsidRPr="00277B6C" w:rsidRDefault="005C1AB5" w:rsidP="00277B6C">
      <w:pPr>
        <w:pStyle w:val="BodyTextIndent"/>
      </w:pPr>
      <w:r>
        <w:rPr>
          <w:noProof/>
          <w:lang w:val="en-US"/>
        </w:rPr>
        <w:drawing>
          <wp:inline distT="0" distB="0" distL="0" distR="0">
            <wp:extent cx="2968625" cy="1696085"/>
            <wp:effectExtent l="19050" t="0" r="3175" b="0"/>
            <wp:docPr id="26" name="Picture 25" descr="BSRT_beam2_AGC_2187_flat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RT_beam2_AGC_2187_flattop.png"/>
                    <pic:cNvPicPr/>
                  </pic:nvPicPr>
                  <pic:blipFill>
                    <a:blip r:embed="rId25" cstate="print"/>
                    <a:stretch>
                      <a:fillRect/>
                    </a:stretch>
                  </pic:blipFill>
                  <pic:spPr>
                    <a:xfrm>
                      <a:off x="0" y="0"/>
                      <a:ext cx="2968625" cy="1696085"/>
                    </a:xfrm>
                    <a:prstGeom prst="rect">
                      <a:avLst/>
                    </a:prstGeom>
                  </pic:spPr>
                </pic:pic>
              </a:graphicData>
            </a:graphic>
          </wp:inline>
        </w:drawing>
      </w:r>
    </w:p>
    <w:p w:rsidR="006F5F9D" w:rsidRDefault="006F5F9D" w:rsidP="0079125D">
      <w:pPr>
        <w:pStyle w:val="BodyTextIndent"/>
        <w:jc w:val="center"/>
        <w:rPr>
          <w:kern w:val="16"/>
        </w:rPr>
      </w:pPr>
      <w:r>
        <w:rPr>
          <w:kern w:val="16"/>
        </w:rPr>
        <w:t>Figure 18: Relative emittance growth for different batches after ramp and during squeeze for Fill 2187, beam 2.</w:t>
      </w:r>
    </w:p>
    <w:p w:rsidR="006F5F9D" w:rsidRDefault="006F5F9D" w:rsidP="00165665">
      <w:pPr>
        <w:pStyle w:val="BodyTextIndent"/>
        <w:rPr>
          <w:kern w:val="16"/>
        </w:rPr>
      </w:pPr>
    </w:p>
    <w:p w:rsidR="00462AFC" w:rsidRDefault="00A042BE" w:rsidP="00165665">
      <w:pPr>
        <w:pStyle w:val="BodyTextIndent"/>
        <w:rPr>
          <w:kern w:val="16"/>
        </w:rPr>
      </w:pPr>
      <w:r>
        <w:rPr>
          <w:kern w:val="16"/>
        </w:rPr>
        <w:lastRenderedPageBreak/>
        <w:t>Whereas for beam 2, both planes, and beam 1, the vertical plane, the emittances remain constant</w:t>
      </w:r>
      <w:r w:rsidR="006F4DCF">
        <w:rPr>
          <w:kern w:val="16"/>
        </w:rPr>
        <w:t xml:space="preserve"> within measurement accuracy</w:t>
      </w:r>
      <w:r>
        <w:rPr>
          <w:kern w:val="16"/>
        </w:rPr>
        <w:t xml:space="preserve"> after the ramp and during the squeeze, the horizontal beam 1 emittances show blow-up starting around 3 m </w:t>
      </w:r>
      <w:r w:rsidRPr="00A042BE">
        <w:rPr>
          <w:rFonts w:ascii="Symbol" w:hAnsi="Symbol"/>
          <w:kern w:val="16"/>
        </w:rPr>
        <w:t></w:t>
      </w:r>
      <w:r>
        <w:rPr>
          <w:kern w:val="16"/>
        </w:rPr>
        <w:t>*</w:t>
      </w:r>
      <w:r w:rsidR="00394599">
        <w:rPr>
          <w:kern w:val="16"/>
        </w:rPr>
        <w:t>, see Fig. 17 and Fig. 18</w:t>
      </w:r>
      <w:r>
        <w:rPr>
          <w:kern w:val="16"/>
        </w:rPr>
        <w:t xml:space="preserve">. </w:t>
      </w:r>
      <w:r w:rsidR="005C1AB5">
        <w:rPr>
          <w:kern w:val="16"/>
        </w:rPr>
        <w:t>The</w:t>
      </w:r>
      <w:r>
        <w:rPr>
          <w:kern w:val="16"/>
        </w:rPr>
        <w:t xml:space="preserve"> m</w:t>
      </w:r>
      <w:r w:rsidR="005C1AB5">
        <w:rPr>
          <w:kern w:val="16"/>
        </w:rPr>
        <w:t>easured be</w:t>
      </w:r>
      <w:r w:rsidR="00171A3D">
        <w:rPr>
          <w:kern w:val="16"/>
        </w:rPr>
        <w:t>tas at the</w:t>
      </w:r>
      <w:r w:rsidR="00171A3D" w:rsidRPr="000775BB">
        <w:rPr>
          <w:b/>
          <w:kern w:val="16"/>
        </w:rPr>
        <w:t xml:space="preserve"> </w:t>
      </w:r>
      <w:r w:rsidR="00171A3D" w:rsidRPr="001348A5">
        <w:rPr>
          <w:kern w:val="16"/>
        </w:rPr>
        <w:t>D3</w:t>
      </w:r>
      <w:r w:rsidR="00171A3D">
        <w:rPr>
          <w:kern w:val="16"/>
        </w:rPr>
        <w:t xml:space="preserve"> were taken into account</w:t>
      </w:r>
      <w:r>
        <w:rPr>
          <w:kern w:val="16"/>
        </w:rPr>
        <w:t xml:space="preserve"> where available:</w:t>
      </w:r>
      <w:r w:rsidR="00171A3D">
        <w:rPr>
          <w:kern w:val="16"/>
        </w:rPr>
        <w:t xml:space="preserve"> at flattop, 3.5 m and 1 m </w:t>
      </w:r>
      <w:r w:rsidR="00171A3D" w:rsidRPr="00A042BE">
        <w:rPr>
          <w:rFonts w:ascii="Symbol" w:hAnsi="Symbol"/>
          <w:kern w:val="16"/>
        </w:rPr>
        <w:t></w:t>
      </w:r>
      <w:r w:rsidR="00171A3D">
        <w:rPr>
          <w:kern w:val="16"/>
        </w:rPr>
        <w:t xml:space="preserve">*. </w:t>
      </w:r>
      <w:r w:rsidR="003A042E">
        <w:rPr>
          <w:kern w:val="16"/>
        </w:rPr>
        <w:t xml:space="preserve">It remains to be verified whether the emittances </w:t>
      </w:r>
      <w:r w:rsidR="006F4DCF">
        <w:rPr>
          <w:kern w:val="16"/>
        </w:rPr>
        <w:t xml:space="preserve">of beam 1 H systematically blow </w:t>
      </w:r>
      <w:r w:rsidR="003A042E">
        <w:rPr>
          <w:kern w:val="16"/>
        </w:rPr>
        <w:t>up during the squeeze or whether Fill 21</w:t>
      </w:r>
      <w:r w:rsidR="006F4DCF">
        <w:rPr>
          <w:kern w:val="16"/>
        </w:rPr>
        <w:t xml:space="preserve">87 was </w:t>
      </w:r>
      <w:r w:rsidR="003A042E">
        <w:rPr>
          <w:kern w:val="16"/>
        </w:rPr>
        <w:t>exception</w:t>
      </w:r>
      <w:r w:rsidR="006F4DCF">
        <w:rPr>
          <w:kern w:val="16"/>
        </w:rPr>
        <w:t>al</w:t>
      </w:r>
      <w:r w:rsidR="003A042E">
        <w:rPr>
          <w:kern w:val="16"/>
        </w:rPr>
        <w:t>.</w:t>
      </w:r>
    </w:p>
    <w:p w:rsidR="0097734E" w:rsidRDefault="0097734E" w:rsidP="0097734E">
      <w:pPr>
        <w:pStyle w:val="Heading2"/>
        <w:spacing w:before="180"/>
      </w:pPr>
      <w:r>
        <w:lastRenderedPageBreak/>
        <w:t>possible sources for emittance growth during ramp</w:t>
      </w:r>
    </w:p>
    <w:p w:rsidR="003714A2" w:rsidRDefault="00C41E07" w:rsidP="00165665">
      <w:pPr>
        <w:pStyle w:val="BodyTextIndent"/>
        <w:rPr>
          <w:kern w:val="16"/>
        </w:rPr>
      </w:pPr>
      <w:r>
        <w:rPr>
          <w:kern w:val="16"/>
        </w:rPr>
        <w:t>One of the parameters which were</w:t>
      </w:r>
      <w:r w:rsidR="00FF7266">
        <w:rPr>
          <w:kern w:val="16"/>
        </w:rPr>
        <w:t xml:space="preserve"> not fully optimized during the ramp commissioning of 2011 was the gain of the transverse feedback. </w:t>
      </w:r>
      <w:r w:rsidR="005941A9">
        <w:rPr>
          <w:kern w:val="16"/>
        </w:rPr>
        <w:t>No systematic scan of</w:t>
      </w:r>
      <w:r w:rsidR="001374C0">
        <w:rPr>
          <w:kern w:val="16"/>
        </w:rPr>
        <w:t xml:space="preserve"> damper gain versus </w:t>
      </w:r>
      <w:r w:rsidR="005941A9">
        <w:rPr>
          <w:kern w:val="16"/>
        </w:rPr>
        <w:t xml:space="preserve">transmission or tune signal were carried out. </w:t>
      </w:r>
      <w:r>
        <w:rPr>
          <w:kern w:val="16"/>
        </w:rPr>
        <w:t>It has to be reduced during the ramp to allow the operation of the BBQ based tune feedback [</w:t>
      </w:r>
      <w:r w:rsidR="00112FE3" w:rsidRPr="00112FE3">
        <w:rPr>
          <w:kern w:val="16"/>
        </w:rPr>
        <w:t>5</w:t>
      </w:r>
      <w:r w:rsidR="005941A9">
        <w:rPr>
          <w:kern w:val="16"/>
        </w:rPr>
        <w:t>]. The reduction of the gain</w:t>
      </w:r>
      <w:r>
        <w:rPr>
          <w:kern w:val="16"/>
        </w:rPr>
        <w:t xml:space="preserve"> takes place before the ramp starts, and is clearly visible as increase of the BBQ amplitudes, see Fig. </w:t>
      </w:r>
      <w:r w:rsidR="00A26513" w:rsidRPr="00A26513">
        <w:rPr>
          <w:kern w:val="16"/>
        </w:rPr>
        <w:t>21</w:t>
      </w:r>
      <w:r>
        <w:rPr>
          <w:kern w:val="16"/>
        </w:rPr>
        <w:t xml:space="preserve">. </w:t>
      </w:r>
      <w:r w:rsidR="00E06432">
        <w:rPr>
          <w:kern w:val="16"/>
        </w:rPr>
        <w:t>The</w:t>
      </w:r>
      <w:r w:rsidR="003714A2">
        <w:rPr>
          <w:kern w:val="16"/>
        </w:rPr>
        <w:t xml:space="preserve"> large</w:t>
      </w:r>
      <w:r w:rsidR="00E06432">
        <w:rPr>
          <w:kern w:val="16"/>
        </w:rPr>
        <w:t xml:space="preserve">r oscillations measured by the BBQ </w:t>
      </w:r>
      <w:r w:rsidR="003714A2">
        <w:rPr>
          <w:kern w:val="16"/>
        </w:rPr>
        <w:t xml:space="preserve">could potentially lead to emittance blow-up. </w:t>
      </w:r>
    </w:p>
    <w:p w:rsidR="00165665" w:rsidRDefault="00165665" w:rsidP="00F94B3A">
      <w:pPr>
        <w:pStyle w:val="BodyTextIndent"/>
        <w:rPr>
          <w:kern w:val="16"/>
        </w:rPr>
        <w:sectPr w:rsidR="00165665" w:rsidSect="00074A20">
          <w:footnotePr>
            <w:pos w:val="beneathText"/>
            <w:numFmt w:val="chicago"/>
          </w:footnotePr>
          <w:endnotePr>
            <w:numFmt w:val="decimal"/>
          </w:endnotePr>
          <w:type w:val="continuous"/>
          <w:pgSz w:w="11907" w:h="16840" w:code="9"/>
          <w:pgMar w:top="2098" w:right="1134" w:bottom="1080" w:left="1134" w:header="2102" w:footer="1080" w:gutter="0"/>
          <w:cols w:num="2" w:space="288"/>
          <w:docGrid w:linePitch="360"/>
        </w:sectPr>
      </w:pPr>
    </w:p>
    <w:p w:rsidR="00165665" w:rsidRDefault="00165665" w:rsidP="00165665">
      <w:pPr>
        <w:pStyle w:val="BodyTextIndent"/>
        <w:rPr>
          <w:kern w:val="16"/>
        </w:rPr>
        <w:sectPr w:rsidR="00165665" w:rsidSect="00074A20">
          <w:footnotePr>
            <w:pos w:val="beneathText"/>
            <w:numFmt w:val="chicago"/>
          </w:footnotePr>
          <w:endnotePr>
            <w:numFmt w:val="decimal"/>
          </w:endnotePr>
          <w:type w:val="continuous"/>
          <w:pgSz w:w="11907" w:h="16840" w:code="9"/>
          <w:pgMar w:top="2098" w:right="1134" w:bottom="1080" w:left="1134" w:header="2102" w:footer="1080" w:gutter="0"/>
          <w:cols w:num="2" w:space="288"/>
          <w:docGrid w:linePitch="360"/>
        </w:sectPr>
      </w:pPr>
    </w:p>
    <w:tbl>
      <w:tblPr>
        <w:tblW w:w="0" w:type="auto"/>
        <w:jc w:val="center"/>
        <w:tblLook w:val="04A0"/>
      </w:tblPr>
      <w:tblGrid>
        <w:gridCol w:w="9855"/>
      </w:tblGrid>
      <w:tr w:rsidR="00165665" w:rsidRPr="00E56880" w:rsidTr="00074A20">
        <w:trPr>
          <w:jc w:val="center"/>
        </w:trPr>
        <w:tc>
          <w:tcPr>
            <w:tcW w:w="9855" w:type="dxa"/>
          </w:tcPr>
          <w:p w:rsidR="00165665" w:rsidRPr="002207D3" w:rsidRDefault="00F250AD" w:rsidP="00074A20">
            <w:pPr>
              <w:pStyle w:val="BodyTextIndent"/>
              <w:ind w:firstLine="0"/>
              <w:jc w:val="center"/>
              <w:rPr>
                <w:kern w:val="16"/>
              </w:rPr>
            </w:pPr>
            <w:r w:rsidRPr="00F250AD">
              <w:rPr>
                <w:noProof/>
                <w:kern w:val="16"/>
                <w:lang w:val="en-US"/>
              </w:rPr>
              <w:lastRenderedPageBreak/>
              <w:drawing>
                <wp:inline distT="0" distB="0" distL="0" distR="0">
                  <wp:extent cx="5943600" cy="3936365"/>
                  <wp:effectExtent l="19050" t="0" r="0" b="0"/>
                  <wp:docPr id="28" name="Picture 9"/>
                  <wp:cNvGraphicFramePr/>
                  <a:graphic xmlns:a="http://schemas.openxmlformats.org/drawingml/2006/main">
                    <a:graphicData uri="http://schemas.openxmlformats.org/drawingml/2006/picture">
                      <pic:pic xmlns:pic="http://schemas.openxmlformats.org/drawingml/2006/picture">
                        <pic:nvPicPr>
                          <pic:cNvPr id="14341" name="Picture 2"/>
                          <pic:cNvPicPr>
                            <a:picLocks noChangeAspect="1"/>
                          </pic:cNvPicPr>
                        </pic:nvPicPr>
                        <pic:blipFill>
                          <a:blip r:embed="rId26" cstate="print"/>
                          <a:srcRect t="7767"/>
                          <a:stretch>
                            <a:fillRect/>
                          </a:stretch>
                        </pic:blipFill>
                        <pic:spPr bwMode="auto">
                          <a:xfrm>
                            <a:off x="0" y="0"/>
                            <a:ext cx="5943600" cy="3936365"/>
                          </a:xfrm>
                          <a:prstGeom prst="rect">
                            <a:avLst/>
                          </a:prstGeom>
                          <a:noFill/>
                          <a:ln w="25400">
                            <a:noFill/>
                            <a:miter lim="800000"/>
                            <a:headEnd/>
                            <a:tailEnd/>
                          </a:ln>
                        </pic:spPr>
                      </pic:pic>
                    </a:graphicData>
                  </a:graphic>
                </wp:inline>
              </w:drawing>
            </w:r>
          </w:p>
        </w:tc>
      </w:tr>
      <w:tr w:rsidR="00165665" w:rsidRPr="00E56880" w:rsidTr="00074A20">
        <w:trPr>
          <w:jc w:val="center"/>
        </w:trPr>
        <w:tc>
          <w:tcPr>
            <w:tcW w:w="9855" w:type="dxa"/>
          </w:tcPr>
          <w:p w:rsidR="00165665" w:rsidRDefault="00D327EF" w:rsidP="003714A2">
            <w:pPr>
              <w:pStyle w:val="FigureCaptionMultiLine"/>
              <w:rPr>
                <w:i/>
                <w:kern w:val="16"/>
              </w:rPr>
            </w:pPr>
            <w:r>
              <w:rPr>
                <w:kern w:val="16"/>
              </w:rPr>
              <w:t>Figure 21</w:t>
            </w:r>
            <w:r w:rsidR="00165665" w:rsidRPr="002207D3">
              <w:rPr>
                <w:kern w:val="16"/>
              </w:rPr>
              <w:t>:</w:t>
            </w:r>
            <w:r>
              <w:rPr>
                <w:kern w:val="16"/>
              </w:rPr>
              <w:t xml:space="preserve"> Plot of the logged parameters of BBQ amplitudes (red) and damper gain (green) and beam energy (pink). At the moment of the reduction of damper gain in preparation of the energy ramp the BBQ amplitudes increase. </w:t>
            </w:r>
            <w:r w:rsidR="003714A2" w:rsidRPr="00D327EF">
              <w:rPr>
                <w:i/>
                <w:kern w:val="16"/>
              </w:rPr>
              <w:t>Courtesy W. Hofle</w:t>
            </w:r>
          </w:p>
          <w:p w:rsidR="007A0349" w:rsidRDefault="007A0349" w:rsidP="007A0349">
            <w:pPr>
              <w:pStyle w:val="BodyTextIndent"/>
            </w:pPr>
          </w:p>
          <w:p w:rsidR="007A0349" w:rsidRPr="007A0349" w:rsidRDefault="007A0349" w:rsidP="007A0349">
            <w:pPr>
              <w:pStyle w:val="BodyTextIndent"/>
            </w:pPr>
          </w:p>
        </w:tc>
      </w:tr>
    </w:tbl>
    <w:p w:rsidR="00165665" w:rsidRDefault="00165665" w:rsidP="00AA287B">
      <w:pPr>
        <w:pStyle w:val="BodyTextIndent"/>
        <w:ind w:firstLine="0"/>
        <w:rPr>
          <w:kern w:val="16"/>
        </w:rPr>
        <w:sectPr w:rsidR="00165665" w:rsidSect="00074A20">
          <w:footnotePr>
            <w:pos w:val="beneathText"/>
            <w:numFmt w:val="chicago"/>
          </w:footnotePr>
          <w:endnotePr>
            <w:numFmt w:val="decimal"/>
          </w:endnotePr>
          <w:type w:val="continuous"/>
          <w:pgSz w:w="11907" w:h="16840" w:code="9"/>
          <w:pgMar w:top="2098" w:right="1134" w:bottom="1080" w:left="1134" w:header="2102" w:footer="1080" w:gutter="0"/>
          <w:cols w:space="288"/>
          <w:docGrid w:linePitch="360"/>
        </w:sectPr>
      </w:pPr>
    </w:p>
    <w:p w:rsidR="007A0349" w:rsidRDefault="007A0349" w:rsidP="007A0349">
      <w:pPr>
        <w:pStyle w:val="BodyTextIndent"/>
        <w:rPr>
          <w:kern w:val="16"/>
        </w:rPr>
      </w:pPr>
      <w:r>
        <w:rPr>
          <w:kern w:val="16"/>
        </w:rPr>
        <w:lastRenderedPageBreak/>
        <w:t>The effect of the damper gain change at 450 GeV on emittance growth was checked for Fill 2187. The evolution of the emittance and the damper gain is shown in Fig. 19. There is no clear indication of immediate emittance blow-up when reducing the gain.</w:t>
      </w:r>
    </w:p>
    <w:p w:rsidR="007A0349" w:rsidRDefault="007A0349" w:rsidP="007A0349">
      <w:pPr>
        <w:pStyle w:val="BodyTextIndent"/>
        <w:ind w:firstLine="0"/>
        <w:rPr>
          <w:kern w:val="16"/>
        </w:rPr>
      </w:pPr>
      <w:r>
        <w:rPr>
          <w:noProof/>
          <w:kern w:val="16"/>
          <w:lang w:val="en-US"/>
        </w:rPr>
        <w:lastRenderedPageBreak/>
        <w:drawing>
          <wp:inline distT="0" distB="0" distL="0" distR="0">
            <wp:extent cx="2968625" cy="1696085"/>
            <wp:effectExtent l="19050" t="0" r="3175" b="0"/>
            <wp:docPr id="5" name="Picture 28" descr="BSRT_beam1_AGC_2187_in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RT_beam1_AGC_2187_injection.png"/>
                    <pic:cNvPicPr/>
                  </pic:nvPicPr>
                  <pic:blipFill>
                    <a:blip r:embed="rId27" cstate="print"/>
                    <a:stretch>
                      <a:fillRect/>
                    </a:stretch>
                  </pic:blipFill>
                  <pic:spPr>
                    <a:xfrm>
                      <a:off x="0" y="0"/>
                      <a:ext cx="2968625" cy="1696085"/>
                    </a:xfrm>
                    <a:prstGeom prst="rect">
                      <a:avLst/>
                    </a:prstGeom>
                  </pic:spPr>
                </pic:pic>
              </a:graphicData>
            </a:graphic>
          </wp:inline>
        </w:drawing>
      </w:r>
    </w:p>
    <w:p w:rsidR="007A0349" w:rsidRDefault="007A0349" w:rsidP="0079125D">
      <w:pPr>
        <w:pStyle w:val="BodyTextIndent"/>
        <w:jc w:val="center"/>
        <w:rPr>
          <w:kern w:val="16"/>
        </w:rPr>
      </w:pPr>
      <w:r>
        <w:rPr>
          <w:kern w:val="16"/>
        </w:rPr>
        <w:lastRenderedPageBreak/>
        <w:t>Figure 19: Relative emittance growth for beam 1, Fill 2187, at the injection plateau and the damper gain evolution. There is no immediate additional emittance growth apparent when the damper gain is reduced.</w:t>
      </w:r>
    </w:p>
    <w:p w:rsidR="007A0349" w:rsidRDefault="007A0349" w:rsidP="007A0349">
      <w:pPr>
        <w:pStyle w:val="BodyTextIndent"/>
        <w:rPr>
          <w:kern w:val="16"/>
        </w:rPr>
      </w:pPr>
    </w:p>
    <w:p w:rsidR="007A0349" w:rsidRDefault="007A0349" w:rsidP="007A0349">
      <w:pPr>
        <w:pStyle w:val="Heading2"/>
        <w:spacing w:before="180"/>
      </w:pPr>
      <w:r>
        <w:t>Dependence on bunch intensity</w:t>
      </w:r>
    </w:p>
    <w:p w:rsidR="007A0349" w:rsidRDefault="007A0349" w:rsidP="007A0349">
      <w:pPr>
        <w:pStyle w:val="BodyTextIndent"/>
      </w:pPr>
      <w:r>
        <w:t>The blow-up from the SPS to LHC collisions as function of bunch intensity was obtained by combining data from the summer period and October 2011, see Fig. 20. SPS wire scanner data with 144 bunches and emittance values from the luminosity data were used. Interestingly again the absolute value of emittance growth between SPS and LHC stays approximately constant for different bunch intensities.</w:t>
      </w:r>
    </w:p>
    <w:p w:rsidR="007A0349" w:rsidRDefault="007A0349" w:rsidP="007A0349">
      <w:pPr>
        <w:pStyle w:val="BodyTextIndent"/>
        <w:ind w:firstLine="0"/>
      </w:pPr>
      <w:r w:rsidRPr="00A43C4A">
        <w:rPr>
          <w:noProof/>
          <w:lang w:val="en-US"/>
        </w:rPr>
        <w:drawing>
          <wp:inline distT="0" distB="0" distL="0" distR="0">
            <wp:extent cx="2968625" cy="1979083"/>
            <wp:effectExtent l="19050" t="0" r="3175" b="0"/>
            <wp:docPr id="12" name="Picture 10" descr="Emittance_vs_bunchIntensity.png"/>
            <wp:cNvGraphicFramePr/>
            <a:graphic xmlns:a="http://schemas.openxmlformats.org/drawingml/2006/main">
              <a:graphicData uri="http://schemas.openxmlformats.org/drawingml/2006/picture">
                <pic:pic xmlns:pic="http://schemas.openxmlformats.org/drawingml/2006/picture">
                  <pic:nvPicPr>
                    <pic:cNvPr id="16387" name="Picture 5" descr="Emittance_vs_bunchIntensity.png"/>
                    <pic:cNvPicPr>
                      <a:picLocks noChangeAspect="1"/>
                    </pic:cNvPicPr>
                  </pic:nvPicPr>
                  <pic:blipFill>
                    <a:blip r:embed="rId28" cstate="print"/>
                    <a:srcRect/>
                    <a:stretch>
                      <a:fillRect/>
                    </a:stretch>
                  </pic:blipFill>
                  <pic:spPr bwMode="auto">
                    <a:xfrm>
                      <a:off x="0" y="0"/>
                      <a:ext cx="2968625" cy="1979083"/>
                    </a:xfrm>
                    <a:prstGeom prst="rect">
                      <a:avLst/>
                    </a:prstGeom>
                    <a:noFill/>
                    <a:ln w="9525">
                      <a:noFill/>
                      <a:miter lim="800000"/>
                      <a:headEnd/>
                      <a:tailEnd/>
                    </a:ln>
                  </pic:spPr>
                </pic:pic>
              </a:graphicData>
            </a:graphic>
          </wp:inline>
        </w:drawing>
      </w:r>
    </w:p>
    <w:p w:rsidR="007A0349" w:rsidRDefault="007A0349" w:rsidP="0079125D">
      <w:pPr>
        <w:pStyle w:val="BodyTextIndent"/>
        <w:jc w:val="center"/>
        <w:rPr>
          <w:kern w:val="16"/>
        </w:rPr>
      </w:pPr>
      <w:r>
        <w:rPr>
          <w:kern w:val="16"/>
        </w:rPr>
        <w:t>Figure 20: Comparison of emittance from LHC luminosity and emittance of 144 bunch wire scans in the SPS as function of bunch intensity. The absolute growth between SPS extraction and LHC start of collisions seems to be independent of bunch intensity.</w:t>
      </w:r>
    </w:p>
    <w:p w:rsidR="007A0349" w:rsidRDefault="007A0349" w:rsidP="007A0349">
      <w:pPr>
        <w:pStyle w:val="BodyTextIndent"/>
        <w:ind w:firstLine="0"/>
      </w:pPr>
    </w:p>
    <w:p w:rsidR="007A0349" w:rsidRPr="0058196E" w:rsidRDefault="007A0349" w:rsidP="007A0349">
      <w:pPr>
        <w:pStyle w:val="BodyTextIndent"/>
        <w:ind w:firstLine="0"/>
      </w:pPr>
      <w:r>
        <w:t xml:space="preserve"> Data with even higher bunch intensity than operationally used was delivered for the high pile-up MD fills such as Fill 2201, see Fig. 22. The absolute emittance growth during the ramp is similar as during the BI MD: </w:t>
      </w:r>
      <w:r w:rsidR="0079125D">
        <w:br/>
      </w:r>
      <w:r w:rsidRPr="009545B8">
        <w:rPr>
          <w:rFonts w:ascii="Symbol" w:hAnsi="Symbol"/>
        </w:rPr>
        <w:t></w:t>
      </w:r>
      <w:r w:rsidRPr="009545B8">
        <w:rPr>
          <w:rFonts w:ascii="Symbol" w:hAnsi="Symbol"/>
        </w:rPr>
        <w:t></w:t>
      </w:r>
      <w:r>
        <w:t xml:space="preserve"> ~ 1 </w:t>
      </w:r>
      <w:r w:rsidRPr="009545B8">
        <w:rPr>
          <w:rFonts w:ascii="Symbol" w:hAnsi="Symbol"/>
        </w:rPr>
        <w:t></w:t>
      </w:r>
      <w:r>
        <w:t xml:space="preserve">m in H and </w:t>
      </w:r>
      <w:r w:rsidRPr="009545B8">
        <w:rPr>
          <w:rFonts w:ascii="Symbol" w:hAnsi="Symbol"/>
        </w:rPr>
        <w:t></w:t>
      </w:r>
      <w:r w:rsidRPr="009545B8">
        <w:rPr>
          <w:rFonts w:ascii="Symbol" w:hAnsi="Symbol"/>
        </w:rPr>
        <w:t></w:t>
      </w:r>
      <w:r>
        <w:t xml:space="preserve"> ~ 0.6 </w:t>
      </w:r>
      <w:r w:rsidRPr="009545B8">
        <w:rPr>
          <w:rFonts w:ascii="Symbol" w:hAnsi="Symbol"/>
        </w:rPr>
        <w:t></w:t>
      </w:r>
      <w:r>
        <w:t xml:space="preserve">m in V.   </w:t>
      </w:r>
    </w:p>
    <w:p w:rsidR="007A0349" w:rsidRDefault="007A0349" w:rsidP="007A0349">
      <w:pPr>
        <w:pStyle w:val="BodyTextIndent"/>
        <w:ind w:firstLine="0"/>
        <w:rPr>
          <w:kern w:val="16"/>
        </w:rPr>
      </w:pPr>
    </w:p>
    <w:p w:rsidR="007A0349" w:rsidRDefault="007A0349" w:rsidP="007A0349">
      <w:pPr>
        <w:pStyle w:val="Heading2"/>
        <w:spacing w:before="180"/>
      </w:pPr>
      <w:r>
        <w:t>ions</w:t>
      </w:r>
    </w:p>
    <w:p w:rsidR="007A0349" w:rsidRDefault="007A0349" w:rsidP="007A0349">
      <w:pPr>
        <w:pStyle w:val="BodyTextIndent"/>
        <w:rPr>
          <w:kern w:val="16"/>
        </w:rPr>
      </w:pPr>
      <w:r>
        <w:rPr>
          <w:kern w:val="16"/>
        </w:rPr>
        <w:t>IBS has a much larger impact for ions at injection [</w:t>
      </w:r>
      <w:r w:rsidRPr="001723F2">
        <w:rPr>
          <w:kern w:val="16"/>
        </w:rPr>
        <w:t>4</w:t>
      </w:r>
      <w:r>
        <w:rPr>
          <w:kern w:val="16"/>
        </w:rPr>
        <w:t>], and they also experience emittance blow-up during the ramp. As for protons</w:t>
      </w:r>
      <w:r w:rsidR="005160F4">
        <w:rPr>
          <w:kern w:val="16"/>
        </w:rPr>
        <w:t>,</w:t>
      </w:r>
      <w:r>
        <w:rPr>
          <w:kern w:val="16"/>
        </w:rPr>
        <w:t xml:space="preserve"> wire scans during the ramp for physics beams are not possible due to the intensity limitations. Wire scans during the ramp were carried out during the quench test fill on </w:t>
      </w:r>
      <w:r w:rsidR="005160F4">
        <w:rPr>
          <w:kern w:val="16"/>
        </w:rPr>
        <w:t>7</w:t>
      </w:r>
      <w:r>
        <w:rPr>
          <w:kern w:val="16"/>
        </w:rPr>
        <w:t xml:space="preserve"> December 2011. A single bunch was analyzed. The measured blow-up during the ramp is about 20 %, see Fig. 23.</w:t>
      </w:r>
    </w:p>
    <w:p w:rsidR="00165665" w:rsidRDefault="00165665" w:rsidP="00165665">
      <w:pPr>
        <w:pStyle w:val="Heading3"/>
        <w:spacing w:before="0"/>
        <w:rPr>
          <w:kern w:val="16"/>
        </w:rPr>
      </w:pPr>
    </w:p>
    <w:p w:rsidR="00AA287B" w:rsidRPr="00AA287B" w:rsidRDefault="00AA287B" w:rsidP="00AA287B">
      <w:pPr>
        <w:pStyle w:val="BodyTextIndent"/>
        <w:ind w:firstLine="0"/>
      </w:pPr>
      <w:r>
        <w:rPr>
          <w:noProof/>
          <w:lang w:val="en-US"/>
        </w:rPr>
        <w:drawing>
          <wp:inline distT="0" distB="0" distL="0" distR="0">
            <wp:extent cx="2968625" cy="1979295"/>
            <wp:effectExtent l="19050" t="0" r="3175" b="0"/>
            <wp:docPr id="34" name="Picture 33" descr="WS_beam1_highPileUp_fill2201_corrected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beam1_highPileUp_fill2201_correctedFT.png"/>
                    <pic:cNvPicPr/>
                  </pic:nvPicPr>
                  <pic:blipFill>
                    <a:blip r:embed="rId29" cstate="print"/>
                    <a:stretch>
                      <a:fillRect/>
                    </a:stretch>
                  </pic:blipFill>
                  <pic:spPr>
                    <a:xfrm>
                      <a:off x="0" y="0"/>
                      <a:ext cx="2968625" cy="1979295"/>
                    </a:xfrm>
                    <a:prstGeom prst="rect">
                      <a:avLst/>
                    </a:prstGeom>
                  </pic:spPr>
                </pic:pic>
              </a:graphicData>
            </a:graphic>
          </wp:inline>
        </w:drawing>
      </w:r>
    </w:p>
    <w:p w:rsidR="00AA287B" w:rsidRDefault="00D327EF" w:rsidP="0079125D">
      <w:pPr>
        <w:pStyle w:val="BodyTextIndent"/>
        <w:jc w:val="center"/>
        <w:rPr>
          <w:kern w:val="16"/>
        </w:rPr>
      </w:pPr>
      <w:r>
        <w:rPr>
          <w:kern w:val="16"/>
        </w:rPr>
        <w:t>Figure 22</w:t>
      </w:r>
      <w:r w:rsidR="00AA287B">
        <w:rPr>
          <w:kern w:val="16"/>
        </w:rPr>
        <w:t xml:space="preserve">: Emittance evolution during high pile-up MD for beam1. Bunch intensity: 2.4 </w:t>
      </w:r>
      <w:r>
        <w:rPr>
          <w:kern w:val="16"/>
        </w:rPr>
        <w:t xml:space="preserve">× </w:t>
      </w:r>
      <w:r w:rsidR="00AA287B">
        <w:rPr>
          <w:kern w:val="16"/>
        </w:rPr>
        <w:t>10</w:t>
      </w:r>
      <w:r w:rsidR="00AA287B" w:rsidRPr="00D327EF">
        <w:rPr>
          <w:kern w:val="16"/>
          <w:vertAlign w:val="superscript"/>
        </w:rPr>
        <w:t>11</w:t>
      </w:r>
      <w:r w:rsidR="00AA287B">
        <w:rPr>
          <w:kern w:val="16"/>
        </w:rPr>
        <w:t xml:space="preserve">. Initial emittances: </w:t>
      </w:r>
      <w:r w:rsidR="00AA287B" w:rsidRPr="00D327EF">
        <w:rPr>
          <w:rFonts w:ascii="Symbol" w:hAnsi="Symbol"/>
          <w:kern w:val="16"/>
        </w:rPr>
        <w:t></w:t>
      </w:r>
      <w:r w:rsidR="00AA287B" w:rsidRPr="00D327EF">
        <w:rPr>
          <w:kern w:val="16"/>
          <w:vertAlign w:val="subscript"/>
        </w:rPr>
        <w:t>H0</w:t>
      </w:r>
      <w:r w:rsidR="000C4BFB">
        <w:rPr>
          <w:kern w:val="16"/>
        </w:rPr>
        <w:t xml:space="preserve"> = </w:t>
      </w:r>
      <w:r w:rsidR="00AA287B">
        <w:rPr>
          <w:kern w:val="16"/>
        </w:rPr>
        <w:t xml:space="preserve">2.4 </w:t>
      </w:r>
      <w:r w:rsidR="00AA287B" w:rsidRPr="00D327EF">
        <w:rPr>
          <w:rFonts w:ascii="Symbol" w:hAnsi="Symbol"/>
          <w:kern w:val="16"/>
        </w:rPr>
        <w:t></w:t>
      </w:r>
      <w:r w:rsidR="00AA287B">
        <w:rPr>
          <w:kern w:val="16"/>
        </w:rPr>
        <w:t xml:space="preserve">m, </w:t>
      </w:r>
      <w:r w:rsidR="00AA287B" w:rsidRPr="00D327EF">
        <w:rPr>
          <w:rFonts w:ascii="Symbol" w:hAnsi="Symbol"/>
          <w:kern w:val="16"/>
        </w:rPr>
        <w:t></w:t>
      </w:r>
      <w:r w:rsidR="00AA287B" w:rsidRPr="00D327EF">
        <w:rPr>
          <w:kern w:val="16"/>
          <w:vertAlign w:val="subscript"/>
        </w:rPr>
        <w:t>V0</w:t>
      </w:r>
      <w:r w:rsidR="00AA287B">
        <w:rPr>
          <w:kern w:val="16"/>
        </w:rPr>
        <w:t xml:space="preserve"> = 2.2 </w:t>
      </w:r>
      <w:r w:rsidR="00AA287B" w:rsidRPr="00D327EF">
        <w:rPr>
          <w:rFonts w:ascii="Symbol" w:hAnsi="Symbol"/>
          <w:kern w:val="16"/>
        </w:rPr>
        <w:t></w:t>
      </w:r>
      <w:r w:rsidR="00AA287B">
        <w:rPr>
          <w:kern w:val="16"/>
        </w:rPr>
        <w:t xml:space="preserve">m. </w:t>
      </w:r>
      <w:r>
        <w:rPr>
          <w:kern w:val="16"/>
        </w:rPr>
        <w:t xml:space="preserve">The results are </w:t>
      </w:r>
      <w:r w:rsidR="00AA287B">
        <w:rPr>
          <w:kern w:val="16"/>
        </w:rPr>
        <w:t>similar</w:t>
      </w:r>
      <w:r>
        <w:rPr>
          <w:kern w:val="16"/>
        </w:rPr>
        <w:t xml:space="preserve"> for beam 2</w:t>
      </w:r>
      <w:r w:rsidR="00AA287B">
        <w:rPr>
          <w:kern w:val="16"/>
        </w:rPr>
        <w:t>.</w:t>
      </w:r>
    </w:p>
    <w:p w:rsidR="007A0349" w:rsidRDefault="007A0349" w:rsidP="00AA287B">
      <w:pPr>
        <w:pStyle w:val="BodyTextIndent"/>
        <w:rPr>
          <w:kern w:val="16"/>
        </w:rPr>
      </w:pPr>
    </w:p>
    <w:p w:rsidR="007A0349" w:rsidRDefault="007A0349" w:rsidP="007A0349">
      <w:pPr>
        <w:pStyle w:val="Heading2"/>
        <w:spacing w:before="180"/>
      </w:pPr>
      <w:r>
        <w:t>PLans for 2012</w:t>
      </w:r>
    </w:p>
    <w:p w:rsidR="007A0349" w:rsidRDefault="007A0349" w:rsidP="0079125D">
      <w:pPr>
        <w:pStyle w:val="BodyTextIndent"/>
        <w:rPr>
          <w:kern w:val="16"/>
        </w:rPr>
      </w:pPr>
      <w:r>
        <w:rPr>
          <w:kern w:val="16"/>
        </w:rPr>
        <w:t xml:space="preserve">Many more studies are required to get a clear picture of the apparently additive source of emittance growth during the ramp. Several MDs are planned. Bunches with different intensities and same emittances and different emittances will be studied to check the effect on IBS at injection and the effect on emittance blow-up during the ramp. Also, the effect of different damper gains and working points (e.g. to avoid 50 Hz lines) will be investigated. </w:t>
      </w:r>
    </w:p>
    <w:p w:rsidR="007A0349" w:rsidRDefault="007A0349" w:rsidP="007A0349">
      <w:pPr>
        <w:pStyle w:val="Heading3"/>
        <w:rPr>
          <w:kern w:val="16"/>
        </w:rPr>
      </w:pPr>
      <w:r>
        <w:rPr>
          <w:kern w:val="16"/>
        </w:rPr>
        <w:t>Requirements</w:t>
      </w:r>
    </w:p>
    <w:p w:rsidR="007A0349" w:rsidRDefault="007A0349" w:rsidP="007A0349">
      <w:pPr>
        <w:pStyle w:val="BodyTextIndent"/>
        <w:rPr>
          <w:kern w:val="16"/>
        </w:rPr>
      </w:pPr>
      <w:r>
        <w:rPr>
          <w:kern w:val="16"/>
        </w:rPr>
        <w:t>A number of additional studies and improvements of transverse profile diagnostics and analysis methods are required for 2012:</w:t>
      </w:r>
    </w:p>
    <w:p w:rsidR="007A0349" w:rsidRPr="00A83053" w:rsidRDefault="007A0349" w:rsidP="007A0349">
      <w:pPr>
        <w:pStyle w:val="BodyTextIndent"/>
        <w:numPr>
          <w:ilvl w:val="0"/>
          <w:numId w:val="15"/>
        </w:numPr>
        <w:ind w:left="426" w:hanging="142"/>
        <w:rPr>
          <w:kern w:val="16"/>
        </w:rPr>
      </w:pPr>
      <w:r>
        <w:rPr>
          <w:kern w:val="16"/>
        </w:rPr>
        <w:t>Knowledge on beta-beat change over time</w:t>
      </w:r>
    </w:p>
    <w:p w:rsidR="007A0349" w:rsidRPr="00A83053" w:rsidRDefault="007A0349" w:rsidP="007A0349">
      <w:pPr>
        <w:pStyle w:val="BodyTextIndent"/>
        <w:numPr>
          <w:ilvl w:val="0"/>
          <w:numId w:val="15"/>
        </w:numPr>
        <w:ind w:left="426" w:hanging="142"/>
        <w:rPr>
          <w:kern w:val="16"/>
        </w:rPr>
      </w:pPr>
      <w:r>
        <w:rPr>
          <w:kern w:val="16"/>
        </w:rPr>
        <w:t>BGI commissioned for protons</w:t>
      </w:r>
    </w:p>
    <w:p w:rsidR="007A0349" w:rsidRPr="00A83053" w:rsidRDefault="007A0349" w:rsidP="007A0349">
      <w:pPr>
        <w:pStyle w:val="BodyTextIndent"/>
        <w:numPr>
          <w:ilvl w:val="0"/>
          <w:numId w:val="15"/>
        </w:numPr>
        <w:ind w:left="426" w:hanging="142"/>
        <w:rPr>
          <w:kern w:val="16"/>
        </w:rPr>
      </w:pPr>
      <w:r>
        <w:rPr>
          <w:kern w:val="16"/>
        </w:rPr>
        <w:t xml:space="preserve">Faster and better calibrated BSRTs. Work has already started on that subject. </w:t>
      </w:r>
    </w:p>
    <w:p w:rsidR="007A0349" w:rsidRPr="00E56880" w:rsidRDefault="007A0349" w:rsidP="007A0349">
      <w:pPr>
        <w:pStyle w:val="BodyTextIndent"/>
        <w:numPr>
          <w:ilvl w:val="0"/>
          <w:numId w:val="15"/>
        </w:numPr>
        <w:ind w:left="426" w:hanging="142"/>
        <w:rPr>
          <w:rFonts w:cs="Times"/>
          <w:kern w:val="16"/>
        </w:rPr>
      </w:pPr>
      <w:r>
        <w:rPr>
          <w:kern w:val="16"/>
        </w:rPr>
        <w:t xml:space="preserve">Automated wire scans during the ramp. </w:t>
      </w:r>
    </w:p>
    <w:p w:rsidR="007A0349" w:rsidRPr="00E56880" w:rsidRDefault="007A0349" w:rsidP="007A0349">
      <w:pPr>
        <w:pStyle w:val="BodyTextIndent"/>
        <w:numPr>
          <w:ilvl w:val="0"/>
          <w:numId w:val="15"/>
        </w:numPr>
        <w:ind w:left="426" w:hanging="142"/>
        <w:rPr>
          <w:rFonts w:cs="Times"/>
          <w:kern w:val="16"/>
        </w:rPr>
      </w:pPr>
      <w:r>
        <w:rPr>
          <w:kern w:val="16"/>
        </w:rPr>
        <w:t xml:space="preserve">Measured betas around the machine more easily available. Work has already started on that subject. </w:t>
      </w:r>
    </w:p>
    <w:p w:rsidR="007A0349" w:rsidRPr="00A83053" w:rsidRDefault="007A0349" w:rsidP="007A0349">
      <w:pPr>
        <w:pStyle w:val="BodyTextIndent"/>
        <w:numPr>
          <w:ilvl w:val="0"/>
          <w:numId w:val="15"/>
        </w:numPr>
        <w:ind w:left="426" w:hanging="142"/>
        <w:rPr>
          <w:kern w:val="16"/>
        </w:rPr>
      </w:pPr>
      <w:r>
        <w:rPr>
          <w:kern w:val="16"/>
        </w:rPr>
        <w:t>More reliable wire scanner results for LHC and SPS, also bunch-by-bunch for the SPS: automated settings for given intensity, better fits,...</w:t>
      </w:r>
    </w:p>
    <w:p w:rsidR="007A0349" w:rsidRPr="00A83053" w:rsidRDefault="007A0349" w:rsidP="007A0349">
      <w:pPr>
        <w:pStyle w:val="BodyTextIndent"/>
        <w:numPr>
          <w:ilvl w:val="0"/>
          <w:numId w:val="15"/>
        </w:numPr>
        <w:ind w:left="426" w:hanging="142"/>
        <w:rPr>
          <w:kern w:val="16"/>
        </w:rPr>
      </w:pPr>
      <w:r>
        <w:rPr>
          <w:kern w:val="16"/>
        </w:rPr>
        <w:t>Emittance measurements in the SPS for each LHC transfer.</w:t>
      </w:r>
    </w:p>
    <w:p w:rsidR="007A0349" w:rsidRDefault="007A0349" w:rsidP="007A0349">
      <w:pPr>
        <w:pStyle w:val="BodyTextIndent"/>
        <w:rPr>
          <w:kern w:val="16"/>
        </w:rPr>
      </w:pPr>
    </w:p>
    <w:p w:rsidR="004B6185" w:rsidRDefault="004B6185" w:rsidP="00165665">
      <w:pPr>
        <w:pStyle w:val="BodyTextIndent"/>
        <w:rPr>
          <w:kern w:val="16"/>
        </w:rPr>
      </w:pPr>
      <w:r w:rsidRPr="004B6185">
        <w:rPr>
          <w:noProof/>
          <w:kern w:val="16"/>
          <w:lang w:val="en-US"/>
        </w:rPr>
        <w:lastRenderedPageBreak/>
        <w:drawing>
          <wp:inline distT="0" distB="0" distL="0" distR="0">
            <wp:extent cx="2968625" cy="2131321"/>
            <wp:effectExtent l="0" t="0" r="0" b="0"/>
            <wp:docPr id="35" name="Picture 13"/>
            <wp:cNvGraphicFramePr/>
            <a:graphic xmlns:a="http://schemas.openxmlformats.org/drawingml/2006/main">
              <a:graphicData uri="http://schemas.openxmlformats.org/drawingml/2006/picture">
                <pic:pic xmlns:pic="http://schemas.openxmlformats.org/drawingml/2006/picture">
                  <pic:nvPicPr>
                    <pic:cNvPr id="17413" name="Picture 6"/>
                    <pic:cNvPicPr>
                      <a:picLocks noChangeAspect="1"/>
                    </pic:cNvPicPr>
                  </pic:nvPicPr>
                  <pic:blipFill>
                    <a:blip r:embed="rId30" cstate="print"/>
                    <a:srcRect/>
                    <a:stretch>
                      <a:fillRect/>
                    </a:stretch>
                  </pic:blipFill>
                  <pic:spPr bwMode="auto">
                    <a:xfrm>
                      <a:off x="0" y="0"/>
                      <a:ext cx="2968625" cy="2131321"/>
                    </a:xfrm>
                    <a:prstGeom prst="rect">
                      <a:avLst/>
                    </a:prstGeom>
                    <a:noFill/>
                    <a:ln w="25400">
                      <a:noFill/>
                      <a:miter lim="800000"/>
                      <a:headEnd/>
                      <a:tailEnd/>
                    </a:ln>
                  </pic:spPr>
                </pic:pic>
              </a:graphicData>
            </a:graphic>
          </wp:inline>
        </w:drawing>
      </w:r>
    </w:p>
    <w:p w:rsidR="004B6185" w:rsidRDefault="00F94B3A" w:rsidP="0079125D">
      <w:pPr>
        <w:pStyle w:val="BodyTextIndent"/>
        <w:jc w:val="center"/>
        <w:rPr>
          <w:kern w:val="16"/>
        </w:rPr>
      </w:pPr>
      <w:r>
        <w:rPr>
          <w:kern w:val="16"/>
        </w:rPr>
        <w:t>Figure 23</w:t>
      </w:r>
      <w:r w:rsidR="004B6185">
        <w:rPr>
          <w:kern w:val="16"/>
        </w:rPr>
        <w:t>:</w:t>
      </w:r>
      <w:r w:rsidR="000C4BFB">
        <w:rPr>
          <w:kern w:val="16"/>
        </w:rPr>
        <w:t xml:space="preserve"> Emittance evolution during ramp for ions. The emittances grow by about 20 %.</w:t>
      </w:r>
    </w:p>
    <w:p w:rsidR="004B6185" w:rsidRDefault="004B6185" w:rsidP="00165665">
      <w:pPr>
        <w:pStyle w:val="BodyTextIndent"/>
        <w:rPr>
          <w:kern w:val="16"/>
        </w:rPr>
      </w:pPr>
    </w:p>
    <w:p w:rsidR="00165665" w:rsidRDefault="00CB4E0E" w:rsidP="00165665">
      <w:pPr>
        <w:pStyle w:val="Heading2"/>
      </w:pPr>
      <w:r>
        <w:t>Conclusions</w:t>
      </w:r>
    </w:p>
    <w:p w:rsidR="00165665" w:rsidRDefault="00000899" w:rsidP="00165665">
      <w:pPr>
        <w:pStyle w:val="BodyTextIndent"/>
        <w:rPr>
          <w:kern w:val="16"/>
        </w:rPr>
      </w:pPr>
      <w:r>
        <w:rPr>
          <w:kern w:val="16"/>
        </w:rPr>
        <w:t xml:space="preserve">The LHC transverse emittances grow </w:t>
      </w:r>
      <w:r w:rsidR="00AA1666">
        <w:rPr>
          <w:kern w:val="16"/>
        </w:rPr>
        <w:t xml:space="preserve">by </w:t>
      </w:r>
      <w:r w:rsidR="003C6CF1">
        <w:rPr>
          <w:kern w:val="16"/>
        </w:rPr>
        <w:t xml:space="preserve">about </w:t>
      </w:r>
      <w:r>
        <w:rPr>
          <w:kern w:val="16"/>
        </w:rPr>
        <w:t xml:space="preserve">20 to </w:t>
      </w:r>
      <w:r w:rsidR="0079125D">
        <w:rPr>
          <w:kern w:val="16"/>
        </w:rPr>
        <w:br/>
      </w:r>
      <w:r>
        <w:rPr>
          <w:kern w:val="16"/>
        </w:rPr>
        <w:t>30 % from SPS extraction to the start of collisions in the LHC. The collected data is consistent with no emittance growth from the injection process into the LHC. The emittance</w:t>
      </w:r>
      <w:r w:rsidR="003C6CF1">
        <w:rPr>
          <w:kern w:val="16"/>
        </w:rPr>
        <w:t>s</w:t>
      </w:r>
      <w:r>
        <w:rPr>
          <w:kern w:val="16"/>
        </w:rPr>
        <w:t xml:space="preserve"> grow at the injection plateau (~ 10% in 20 minutes for the horizontal plane)</w:t>
      </w:r>
      <w:r w:rsidR="00AA1666">
        <w:rPr>
          <w:kern w:val="16"/>
        </w:rPr>
        <w:t>, reasonably consistent with IBS</w:t>
      </w:r>
      <w:r>
        <w:rPr>
          <w:kern w:val="16"/>
        </w:rPr>
        <w:t>. Effort sh</w:t>
      </w:r>
      <w:r w:rsidR="0079125D">
        <w:rPr>
          <w:kern w:val="16"/>
        </w:rPr>
        <w:t>ould therefore be put on minimiz</w:t>
      </w:r>
      <w:r>
        <w:rPr>
          <w:kern w:val="16"/>
        </w:rPr>
        <w:t>in</w:t>
      </w:r>
      <w:r w:rsidR="003C6CF1">
        <w:rPr>
          <w:kern w:val="16"/>
        </w:rPr>
        <w:t>g the time spent at injection and d</w:t>
      </w:r>
      <w:r>
        <w:rPr>
          <w:kern w:val="16"/>
        </w:rPr>
        <w:t xml:space="preserve">edicated LHC filling cycles could be </w:t>
      </w:r>
      <w:r w:rsidR="003C6CF1">
        <w:rPr>
          <w:kern w:val="16"/>
        </w:rPr>
        <w:t>re-</w:t>
      </w:r>
      <w:r>
        <w:rPr>
          <w:kern w:val="16"/>
        </w:rPr>
        <w:t xml:space="preserve">investigated. </w:t>
      </w:r>
    </w:p>
    <w:p w:rsidR="00000899" w:rsidRDefault="00000899" w:rsidP="00165665">
      <w:pPr>
        <w:pStyle w:val="BodyTextIndent"/>
        <w:rPr>
          <w:kern w:val="16"/>
        </w:rPr>
      </w:pPr>
      <w:r>
        <w:rPr>
          <w:kern w:val="16"/>
        </w:rPr>
        <w:t xml:space="preserve">Wire scanner data indicates an emittance blow-up during the ramp. Measurements so far show a blow-up of more than 20 % for 50 ns trains in H and V, even more for single bunches. The emittances seem to grow by the same amount independently of the bunch intensity or initial </w:t>
      </w:r>
      <w:r>
        <w:rPr>
          <w:kern w:val="16"/>
        </w:rPr>
        <w:lastRenderedPageBreak/>
        <w:t>emittance indicating an additiv</w:t>
      </w:r>
      <w:r w:rsidR="003C6CF1">
        <w:rPr>
          <w:kern w:val="16"/>
        </w:rPr>
        <w:t>e growth source</w:t>
      </w:r>
      <w:r w:rsidR="00AA1666">
        <w:rPr>
          <w:kern w:val="16"/>
        </w:rPr>
        <w:t xml:space="preserve"> like for example external noise</w:t>
      </w:r>
      <w:r w:rsidR="003C6CF1">
        <w:rPr>
          <w:kern w:val="16"/>
        </w:rPr>
        <w:t xml:space="preserve">. </w:t>
      </w:r>
    </w:p>
    <w:p w:rsidR="00000899" w:rsidRDefault="00000899" w:rsidP="00165665">
      <w:pPr>
        <w:pStyle w:val="BodyTextIndent"/>
        <w:rPr>
          <w:kern w:val="16"/>
        </w:rPr>
      </w:pPr>
      <w:r>
        <w:rPr>
          <w:kern w:val="16"/>
        </w:rPr>
        <w:t xml:space="preserve">More emittance evolution data during the squeeze is required. </w:t>
      </w:r>
      <w:r w:rsidR="00B61AC5">
        <w:rPr>
          <w:kern w:val="16"/>
        </w:rPr>
        <w:t>The da</w:t>
      </w:r>
      <w:r w:rsidR="00C44F18">
        <w:rPr>
          <w:kern w:val="16"/>
        </w:rPr>
        <w:t xml:space="preserve">ta obtained from Fill 2187 indicates </w:t>
      </w:r>
      <w:r w:rsidR="00B61AC5">
        <w:rPr>
          <w:kern w:val="16"/>
        </w:rPr>
        <w:t xml:space="preserve">a </w:t>
      </w:r>
      <w:r w:rsidR="00B61AC5">
        <w:rPr>
          <w:kern w:val="16"/>
        </w:rPr>
        <w:t xml:space="preserve">blow-up of </w:t>
      </w:r>
      <w:r w:rsidR="00C44F18">
        <w:rPr>
          <w:kern w:val="16"/>
        </w:rPr>
        <w:t xml:space="preserve">the emittances of </w:t>
      </w:r>
      <w:r w:rsidR="00B61AC5">
        <w:rPr>
          <w:kern w:val="16"/>
        </w:rPr>
        <w:t xml:space="preserve">beam 1 horizontal plane by more than 20 % at around 3 m </w:t>
      </w:r>
      <w:r w:rsidR="00B61AC5" w:rsidRPr="00B61AC5">
        <w:rPr>
          <w:rFonts w:ascii="Symbol" w:hAnsi="Symbol"/>
          <w:kern w:val="16"/>
        </w:rPr>
        <w:t></w:t>
      </w:r>
      <w:r w:rsidR="00A97CD3">
        <w:rPr>
          <w:kern w:val="16"/>
        </w:rPr>
        <w:t>*.</w:t>
      </w:r>
    </w:p>
    <w:p w:rsidR="005160F4" w:rsidRDefault="005160F4" w:rsidP="00165665">
      <w:pPr>
        <w:pStyle w:val="BodyTextIndent"/>
        <w:rPr>
          <w:kern w:val="16"/>
        </w:rPr>
      </w:pPr>
      <w:r>
        <w:rPr>
          <w:kern w:val="16"/>
        </w:rPr>
        <w:t>As expected, the emittance increase from IBS is faster for Pb beams.  Moreover the spread of initial bunch intensities and times spent at the LHC injection plateau result in a spread of emittances going into the ramp and physics.</w:t>
      </w:r>
    </w:p>
    <w:p w:rsidR="003A575A" w:rsidRDefault="00CE37B8" w:rsidP="00C44F18">
      <w:pPr>
        <w:pStyle w:val="BodyTextIndent"/>
        <w:rPr>
          <w:kern w:val="16"/>
        </w:rPr>
      </w:pPr>
      <w:r>
        <w:rPr>
          <w:kern w:val="16"/>
        </w:rPr>
        <w:t>In general f</w:t>
      </w:r>
      <w:r w:rsidR="00B61AC5">
        <w:rPr>
          <w:kern w:val="16"/>
        </w:rPr>
        <w:t>aster and better calibrated BSRTs, operational BGIs, better understanding of the wir</w:t>
      </w:r>
      <w:r w:rsidR="005E2D49">
        <w:rPr>
          <w:kern w:val="16"/>
        </w:rPr>
        <w:t>e scanners and reliable fits will be</w:t>
      </w:r>
      <w:r w:rsidR="00B61AC5">
        <w:rPr>
          <w:kern w:val="16"/>
        </w:rPr>
        <w:t xml:space="preserve"> required</w:t>
      </w:r>
      <w:r w:rsidR="00C44F18">
        <w:rPr>
          <w:kern w:val="16"/>
        </w:rPr>
        <w:t xml:space="preserve"> in 2012</w:t>
      </w:r>
      <w:r w:rsidR="00B61AC5">
        <w:rPr>
          <w:kern w:val="16"/>
        </w:rPr>
        <w:t>. The data of dedicated fills and physics fills will be combined to get the full picture</w:t>
      </w:r>
      <w:r>
        <w:rPr>
          <w:kern w:val="16"/>
        </w:rPr>
        <w:t xml:space="preserve"> of LHC emittance preservation</w:t>
      </w:r>
      <w:r w:rsidR="00B61AC5">
        <w:rPr>
          <w:kern w:val="16"/>
        </w:rPr>
        <w:t xml:space="preserve">. </w:t>
      </w:r>
    </w:p>
    <w:p w:rsidR="00165665" w:rsidRDefault="00165665" w:rsidP="00165665">
      <w:pPr>
        <w:pStyle w:val="Heading2"/>
      </w:pPr>
      <w:r>
        <w:t>References</w:t>
      </w:r>
    </w:p>
    <w:p w:rsidR="00C1249C" w:rsidRPr="009545B8" w:rsidRDefault="00CB05B0" w:rsidP="00C1249C">
      <w:pPr>
        <w:pStyle w:val="ReferenceTextChar"/>
        <w:rPr>
          <w:lang w:val="en-US"/>
        </w:rPr>
      </w:pPr>
      <w:r w:rsidRPr="009545B8">
        <w:rPr>
          <w:lang w:val="en-US"/>
        </w:rPr>
        <w:t>[1]</w:t>
      </w:r>
      <w:r w:rsidRPr="009545B8">
        <w:rPr>
          <w:lang w:val="en-US"/>
        </w:rPr>
        <w:tab/>
      </w:r>
      <w:r w:rsidR="00F35210">
        <w:rPr>
          <w:lang w:val="en-US"/>
        </w:rPr>
        <w:t>G. Papotti, “</w:t>
      </w:r>
      <w:r w:rsidR="009E10EB">
        <w:rPr>
          <w:lang w:val="en-US"/>
        </w:rPr>
        <w:t>Luminoisty Lifetime - Protons</w:t>
      </w:r>
      <w:r w:rsidR="00F35210">
        <w:rPr>
          <w:lang w:val="en-US"/>
        </w:rPr>
        <w:t>”, these proceedings.</w:t>
      </w:r>
    </w:p>
    <w:p w:rsidR="00165665" w:rsidRPr="00E56880" w:rsidRDefault="00C1249C" w:rsidP="00165665">
      <w:pPr>
        <w:pStyle w:val="ReferenceTextChar"/>
      </w:pPr>
      <w:r>
        <w:t>[2]</w:t>
      </w:r>
      <w:r>
        <w:tab/>
      </w:r>
      <w:r w:rsidR="0062330E">
        <w:t xml:space="preserve">F. Burkart, </w:t>
      </w:r>
      <w:r w:rsidR="00C70105">
        <w:t>“Beam Loss and Beam Shape at the LHC Collimators”, Master thesis, to be published.</w:t>
      </w:r>
    </w:p>
    <w:p w:rsidR="00165665" w:rsidRDefault="00165665" w:rsidP="00165665">
      <w:pPr>
        <w:pStyle w:val="ReferenceTextChar"/>
        <w:rPr>
          <w:szCs w:val="20"/>
        </w:rPr>
      </w:pPr>
      <w:r w:rsidRPr="00E56880">
        <w:t>[3]</w:t>
      </w:r>
      <w:r w:rsidRPr="00E56880">
        <w:tab/>
      </w:r>
      <w:r w:rsidR="000775BB">
        <w:rPr>
          <w:szCs w:val="20"/>
        </w:rPr>
        <w:t>V. Kain et al, “Emittance Preservation in the LHC”</w:t>
      </w:r>
      <w:r w:rsidR="00F339F9">
        <w:rPr>
          <w:szCs w:val="20"/>
        </w:rPr>
        <w:t>, IPAC 2011, San Sebastian, Spain.</w:t>
      </w:r>
    </w:p>
    <w:p w:rsidR="00FE13E7" w:rsidRDefault="00FE13E7" w:rsidP="00FE13E7">
      <w:pPr>
        <w:pStyle w:val="ReferenceTextChar"/>
        <w:rPr>
          <w:szCs w:val="20"/>
        </w:rPr>
      </w:pPr>
      <w:r>
        <w:t>[4</w:t>
      </w:r>
      <w:r w:rsidRPr="00E56880">
        <w:t>]</w:t>
      </w:r>
      <w:r w:rsidRPr="00E56880">
        <w:tab/>
      </w:r>
      <w:r w:rsidR="006D47D7">
        <w:rPr>
          <w:szCs w:val="20"/>
        </w:rPr>
        <w:t>T. Mertens, “Intrab</w:t>
      </w:r>
      <w:r w:rsidR="006223B6">
        <w:rPr>
          <w:szCs w:val="20"/>
        </w:rPr>
        <w:t>eam scattering in the LHC”, master</w:t>
      </w:r>
      <w:r w:rsidR="006D47D7">
        <w:rPr>
          <w:szCs w:val="20"/>
        </w:rPr>
        <w:t xml:space="preserve"> thesis, CERN-THESIS-2011-042, CERN, </w:t>
      </w:r>
      <w:proofErr w:type="gramStart"/>
      <w:r w:rsidR="006D47D7">
        <w:rPr>
          <w:szCs w:val="20"/>
        </w:rPr>
        <w:t>Geneva</w:t>
      </w:r>
      <w:proofErr w:type="gramEnd"/>
      <w:r w:rsidR="006D47D7">
        <w:rPr>
          <w:szCs w:val="20"/>
        </w:rPr>
        <w:t xml:space="preserve">, Switzerland. </w:t>
      </w:r>
    </w:p>
    <w:p w:rsidR="00112FE3" w:rsidRPr="00E56880" w:rsidRDefault="00112FE3" w:rsidP="00112FE3">
      <w:pPr>
        <w:pStyle w:val="ReferenceTextChar"/>
        <w:rPr>
          <w:szCs w:val="20"/>
        </w:rPr>
      </w:pPr>
      <w:r>
        <w:t>[5</w:t>
      </w:r>
      <w:r w:rsidRPr="00E56880">
        <w:t>]</w:t>
      </w:r>
      <w:r w:rsidRPr="00E56880">
        <w:tab/>
      </w:r>
      <w:r w:rsidR="00633ADF">
        <w:rPr>
          <w:szCs w:val="20"/>
        </w:rPr>
        <w:t>L. Ponce,</w:t>
      </w:r>
      <w:r w:rsidR="00DE30C5">
        <w:rPr>
          <w:szCs w:val="20"/>
        </w:rPr>
        <w:t xml:space="preserve"> “Orbit and tune feedback/diagnostics”,</w:t>
      </w:r>
      <w:r>
        <w:rPr>
          <w:szCs w:val="20"/>
        </w:rPr>
        <w:t xml:space="preserve"> these proceedings</w:t>
      </w:r>
      <w:r w:rsidR="00633ADF">
        <w:rPr>
          <w:szCs w:val="20"/>
        </w:rPr>
        <w:t>.</w:t>
      </w:r>
    </w:p>
    <w:p w:rsidR="00112FE3" w:rsidRPr="00E56880" w:rsidRDefault="00112FE3" w:rsidP="00FE13E7">
      <w:pPr>
        <w:pStyle w:val="ReferenceTextChar"/>
        <w:rPr>
          <w:szCs w:val="20"/>
        </w:rPr>
      </w:pPr>
    </w:p>
    <w:p w:rsidR="00FE13E7" w:rsidRPr="00E56880" w:rsidRDefault="00FE13E7" w:rsidP="00165665">
      <w:pPr>
        <w:pStyle w:val="ReferenceTextChar"/>
        <w:rPr>
          <w:szCs w:val="20"/>
        </w:rPr>
      </w:pPr>
    </w:p>
    <w:p w:rsidR="00165665" w:rsidRPr="00B43D37" w:rsidRDefault="00165665" w:rsidP="00165665">
      <w:pPr>
        <w:pStyle w:val="ReferenceTextChar"/>
      </w:pPr>
    </w:p>
    <w:p w:rsidR="00165665" w:rsidRDefault="00165665" w:rsidP="00165665">
      <w:pPr>
        <w:pStyle w:val="BulletedList"/>
        <w:numPr>
          <w:ilvl w:val="0"/>
          <w:numId w:val="0"/>
        </w:numPr>
        <w:rPr>
          <w:kern w:val="16"/>
        </w:rPr>
        <w:sectPr w:rsidR="00165665"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pPr>
    </w:p>
    <w:p w:rsidR="00165665" w:rsidRPr="008841F0" w:rsidRDefault="00165665" w:rsidP="00165665">
      <w:pPr>
        <w:pStyle w:val="BodyTextIndent"/>
        <w:ind w:firstLine="0"/>
        <w:rPr>
          <w:rStyle w:val="FootnoteReference"/>
        </w:rPr>
      </w:pPr>
    </w:p>
    <w:p w:rsidR="00B75D5E" w:rsidRPr="00165665" w:rsidRDefault="00B75D5E" w:rsidP="00165665"/>
    <w:sectPr w:rsidR="00B75D5E" w:rsidRPr="00165665"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4C0" w:rsidRDefault="001374C0"/>
  </w:endnote>
  <w:endnote w:type="continuationSeparator" w:id="0">
    <w:p w:rsidR="001374C0" w:rsidRDefault="001374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4C0" w:rsidRDefault="001374C0">
      <w:r>
        <w:separator/>
      </w:r>
    </w:p>
  </w:footnote>
  <w:footnote w:type="continuationSeparator" w:id="0">
    <w:p w:rsidR="001374C0" w:rsidRDefault="001374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4">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20"/>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rsids>
    <w:rsidRoot w:val="00606E4C"/>
    <w:rsid w:val="00000899"/>
    <w:rsid w:val="00001EC0"/>
    <w:rsid w:val="00041C04"/>
    <w:rsid w:val="00052CB4"/>
    <w:rsid w:val="0005332B"/>
    <w:rsid w:val="00063F74"/>
    <w:rsid w:val="00074A20"/>
    <w:rsid w:val="00076FB6"/>
    <w:rsid w:val="000775BB"/>
    <w:rsid w:val="0008529C"/>
    <w:rsid w:val="000903C3"/>
    <w:rsid w:val="000A2A9A"/>
    <w:rsid w:val="000B19E4"/>
    <w:rsid w:val="000B6B24"/>
    <w:rsid w:val="000C4BFB"/>
    <w:rsid w:val="000D0EE2"/>
    <w:rsid w:val="000D1A4E"/>
    <w:rsid w:val="000E1BEA"/>
    <w:rsid w:val="000E28FD"/>
    <w:rsid w:val="000E57D6"/>
    <w:rsid w:val="000F05C0"/>
    <w:rsid w:val="00106196"/>
    <w:rsid w:val="00110840"/>
    <w:rsid w:val="00112FE3"/>
    <w:rsid w:val="00114114"/>
    <w:rsid w:val="0011509B"/>
    <w:rsid w:val="0012274F"/>
    <w:rsid w:val="001348A5"/>
    <w:rsid w:val="001374C0"/>
    <w:rsid w:val="0014145F"/>
    <w:rsid w:val="0015344C"/>
    <w:rsid w:val="00165665"/>
    <w:rsid w:val="00171A3D"/>
    <w:rsid w:val="001723F2"/>
    <w:rsid w:val="00172821"/>
    <w:rsid w:val="001D61A4"/>
    <w:rsid w:val="001D6284"/>
    <w:rsid w:val="001F48E9"/>
    <w:rsid w:val="002113E0"/>
    <w:rsid w:val="002245A8"/>
    <w:rsid w:val="00233898"/>
    <w:rsid w:val="00233D51"/>
    <w:rsid w:val="00254A3C"/>
    <w:rsid w:val="00255510"/>
    <w:rsid w:val="00275510"/>
    <w:rsid w:val="00277B6C"/>
    <w:rsid w:val="00287234"/>
    <w:rsid w:val="002B6D03"/>
    <w:rsid w:val="002C6318"/>
    <w:rsid w:val="002C6CA9"/>
    <w:rsid w:val="002D2A47"/>
    <w:rsid w:val="002F2083"/>
    <w:rsid w:val="003003BA"/>
    <w:rsid w:val="00320281"/>
    <w:rsid w:val="00325BA8"/>
    <w:rsid w:val="00327C21"/>
    <w:rsid w:val="00337666"/>
    <w:rsid w:val="003412C6"/>
    <w:rsid w:val="00346355"/>
    <w:rsid w:val="00354E7B"/>
    <w:rsid w:val="00361335"/>
    <w:rsid w:val="00370789"/>
    <w:rsid w:val="003714A2"/>
    <w:rsid w:val="0037743E"/>
    <w:rsid w:val="00394599"/>
    <w:rsid w:val="00394F4B"/>
    <w:rsid w:val="003A042E"/>
    <w:rsid w:val="003A575A"/>
    <w:rsid w:val="003B46E3"/>
    <w:rsid w:val="003B4B46"/>
    <w:rsid w:val="003C2B35"/>
    <w:rsid w:val="003C52DD"/>
    <w:rsid w:val="003C6CF1"/>
    <w:rsid w:val="003C7851"/>
    <w:rsid w:val="003C79A3"/>
    <w:rsid w:val="003E67C6"/>
    <w:rsid w:val="0041300E"/>
    <w:rsid w:val="00423CE7"/>
    <w:rsid w:val="0043708A"/>
    <w:rsid w:val="00437E9B"/>
    <w:rsid w:val="00462016"/>
    <w:rsid w:val="00462AFC"/>
    <w:rsid w:val="00462FA0"/>
    <w:rsid w:val="004833A4"/>
    <w:rsid w:val="004A06FB"/>
    <w:rsid w:val="004A1546"/>
    <w:rsid w:val="004B6185"/>
    <w:rsid w:val="004C29DC"/>
    <w:rsid w:val="004F2A1D"/>
    <w:rsid w:val="00506C77"/>
    <w:rsid w:val="00513765"/>
    <w:rsid w:val="005160F4"/>
    <w:rsid w:val="00524F40"/>
    <w:rsid w:val="00536873"/>
    <w:rsid w:val="00536D4D"/>
    <w:rsid w:val="00565072"/>
    <w:rsid w:val="005758B7"/>
    <w:rsid w:val="005779BE"/>
    <w:rsid w:val="0058196E"/>
    <w:rsid w:val="005873D2"/>
    <w:rsid w:val="005909C8"/>
    <w:rsid w:val="005941A9"/>
    <w:rsid w:val="005A5A94"/>
    <w:rsid w:val="005A60B3"/>
    <w:rsid w:val="005C1AB5"/>
    <w:rsid w:val="005C41E3"/>
    <w:rsid w:val="005E24F7"/>
    <w:rsid w:val="005E2D49"/>
    <w:rsid w:val="005F6709"/>
    <w:rsid w:val="0060119C"/>
    <w:rsid w:val="0060317B"/>
    <w:rsid w:val="0060396C"/>
    <w:rsid w:val="00606E4C"/>
    <w:rsid w:val="00611FE6"/>
    <w:rsid w:val="0061304E"/>
    <w:rsid w:val="006154F2"/>
    <w:rsid w:val="00615F1C"/>
    <w:rsid w:val="006223B6"/>
    <w:rsid w:val="0062330E"/>
    <w:rsid w:val="00633ADF"/>
    <w:rsid w:val="0063597E"/>
    <w:rsid w:val="006560C3"/>
    <w:rsid w:val="00661E2F"/>
    <w:rsid w:val="00662C6C"/>
    <w:rsid w:val="006724C5"/>
    <w:rsid w:val="006728DB"/>
    <w:rsid w:val="00673037"/>
    <w:rsid w:val="00684584"/>
    <w:rsid w:val="006845B5"/>
    <w:rsid w:val="006A56AD"/>
    <w:rsid w:val="006B0234"/>
    <w:rsid w:val="006C58CD"/>
    <w:rsid w:val="006D47D7"/>
    <w:rsid w:val="006F4DCF"/>
    <w:rsid w:val="006F5F9D"/>
    <w:rsid w:val="006F69A8"/>
    <w:rsid w:val="007048EC"/>
    <w:rsid w:val="00705910"/>
    <w:rsid w:val="00734D8D"/>
    <w:rsid w:val="007445F0"/>
    <w:rsid w:val="0075258A"/>
    <w:rsid w:val="00757A2D"/>
    <w:rsid w:val="00761218"/>
    <w:rsid w:val="007823A1"/>
    <w:rsid w:val="00784926"/>
    <w:rsid w:val="0079125D"/>
    <w:rsid w:val="007A0349"/>
    <w:rsid w:val="007A0521"/>
    <w:rsid w:val="007B1A5A"/>
    <w:rsid w:val="007C66C4"/>
    <w:rsid w:val="007C7F27"/>
    <w:rsid w:val="007D1D1F"/>
    <w:rsid w:val="007D2ABA"/>
    <w:rsid w:val="007F024C"/>
    <w:rsid w:val="007F29FF"/>
    <w:rsid w:val="00801CB2"/>
    <w:rsid w:val="0085007D"/>
    <w:rsid w:val="00856118"/>
    <w:rsid w:val="00883BDF"/>
    <w:rsid w:val="008950B3"/>
    <w:rsid w:val="008A01FD"/>
    <w:rsid w:val="008B744C"/>
    <w:rsid w:val="008C0E5F"/>
    <w:rsid w:val="008D3099"/>
    <w:rsid w:val="008F1C55"/>
    <w:rsid w:val="008F5E79"/>
    <w:rsid w:val="00947007"/>
    <w:rsid w:val="009518F3"/>
    <w:rsid w:val="009521A7"/>
    <w:rsid w:val="009545B8"/>
    <w:rsid w:val="00963151"/>
    <w:rsid w:val="00973EE7"/>
    <w:rsid w:val="009772F9"/>
    <w:rsid w:val="0097734E"/>
    <w:rsid w:val="00980B35"/>
    <w:rsid w:val="0098507D"/>
    <w:rsid w:val="00994385"/>
    <w:rsid w:val="009A6CE1"/>
    <w:rsid w:val="009B153F"/>
    <w:rsid w:val="009B15A2"/>
    <w:rsid w:val="009C5D88"/>
    <w:rsid w:val="009D1438"/>
    <w:rsid w:val="009E10EB"/>
    <w:rsid w:val="009E24BD"/>
    <w:rsid w:val="009E63FD"/>
    <w:rsid w:val="009F2DE3"/>
    <w:rsid w:val="00A009A4"/>
    <w:rsid w:val="00A042BE"/>
    <w:rsid w:val="00A045D8"/>
    <w:rsid w:val="00A06B28"/>
    <w:rsid w:val="00A178BA"/>
    <w:rsid w:val="00A26513"/>
    <w:rsid w:val="00A33C3A"/>
    <w:rsid w:val="00A43C4A"/>
    <w:rsid w:val="00A45AC9"/>
    <w:rsid w:val="00A70450"/>
    <w:rsid w:val="00A97CD3"/>
    <w:rsid w:val="00AA1666"/>
    <w:rsid w:val="00AA287B"/>
    <w:rsid w:val="00AB102A"/>
    <w:rsid w:val="00AB1310"/>
    <w:rsid w:val="00AB39F8"/>
    <w:rsid w:val="00AB4DA4"/>
    <w:rsid w:val="00AC05DF"/>
    <w:rsid w:val="00AC6F4B"/>
    <w:rsid w:val="00AD0058"/>
    <w:rsid w:val="00B03F69"/>
    <w:rsid w:val="00B216A3"/>
    <w:rsid w:val="00B229FB"/>
    <w:rsid w:val="00B37367"/>
    <w:rsid w:val="00B42606"/>
    <w:rsid w:val="00B449F0"/>
    <w:rsid w:val="00B61AC5"/>
    <w:rsid w:val="00B677B1"/>
    <w:rsid w:val="00B75D5E"/>
    <w:rsid w:val="00B86677"/>
    <w:rsid w:val="00BA0A30"/>
    <w:rsid w:val="00BC20B2"/>
    <w:rsid w:val="00BC515F"/>
    <w:rsid w:val="00BC52F1"/>
    <w:rsid w:val="00BC6C9C"/>
    <w:rsid w:val="00BC7806"/>
    <w:rsid w:val="00BD1DE1"/>
    <w:rsid w:val="00BD4B98"/>
    <w:rsid w:val="00BE3785"/>
    <w:rsid w:val="00BE3906"/>
    <w:rsid w:val="00C1249C"/>
    <w:rsid w:val="00C13B25"/>
    <w:rsid w:val="00C41E07"/>
    <w:rsid w:val="00C44F18"/>
    <w:rsid w:val="00C519D7"/>
    <w:rsid w:val="00C53798"/>
    <w:rsid w:val="00C557AF"/>
    <w:rsid w:val="00C643BD"/>
    <w:rsid w:val="00C70105"/>
    <w:rsid w:val="00C739BA"/>
    <w:rsid w:val="00C75EEA"/>
    <w:rsid w:val="00C7621E"/>
    <w:rsid w:val="00C77A70"/>
    <w:rsid w:val="00CB05B0"/>
    <w:rsid w:val="00CB2ABB"/>
    <w:rsid w:val="00CB4E0E"/>
    <w:rsid w:val="00CB7E3B"/>
    <w:rsid w:val="00CE37B8"/>
    <w:rsid w:val="00CF4BB3"/>
    <w:rsid w:val="00D13FE8"/>
    <w:rsid w:val="00D15509"/>
    <w:rsid w:val="00D27587"/>
    <w:rsid w:val="00D309C1"/>
    <w:rsid w:val="00D327EF"/>
    <w:rsid w:val="00D51DFA"/>
    <w:rsid w:val="00D550FB"/>
    <w:rsid w:val="00D65663"/>
    <w:rsid w:val="00D867AC"/>
    <w:rsid w:val="00D91611"/>
    <w:rsid w:val="00DC16FB"/>
    <w:rsid w:val="00DC58EE"/>
    <w:rsid w:val="00DE30C5"/>
    <w:rsid w:val="00DE335F"/>
    <w:rsid w:val="00DE4821"/>
    <w:rsid w:val="00DE79DC"/>
    <w:rsid w:val="00DF7780"/>
    <w:rsid w:val="00E04D2F"/>
    <w:rsid w:val="00E06432"/>
    <w:rsid w:val="00E242E6"/>
    <w:rsid w:val="00E36ED8"/>
    <w:rsid w:val="00E47E1F"/>
    <w:rsid w:val="00E54651"/>
    <w:rsid w:val="00E76D5E"/>
    <w:rsid w:val="00E82912"/>
    <w:rsid w:val="00E843E9"/>
    <w:rsid w:val="00EA7684"/>
    <w:rsid w:val="00EB1E89"/>
    <w:rsid w:val="00EB7E98"/>
    <w:rsid w:val="00EC74E3"/>
    <w:rsid w:val="00F06165"/>
    <w:rsid w:val="00F0708C"/>
    <w:rsid w:val="00F11185"/>
    <w:rsid w:val="00F250AD"/>
    <w:rsid w:val="00F339F9"/>
    <w:rsid w:val="00F35210"/>
    <w:rsid w:val="00F41EB4"/>
    <w:rsid w:val="00F4797F"/>
    <w:rsid w:val="00F57EC3"/>
    <w:rsid w:val="00F94B3A"/>
    <w:rsid w:val="00FA415F"/>
    <w:rsid w:val="00FA4B60"/>
    <w:rsid w:val="00FB35FB"/>
    <w:rsid w:val="00FC611F"/>
    <w:rsid w:val="00FC65AD"/>
    <w:rsid w:val="00FD0502"/>
    <w:rsid w:val="00FD53A1"/>
    <w:rsid w:val="00FD5D5F"/>
    <w:rsid w:val="00FE13E7"/>
    <w:rsid w:val="00FE558C"/>
    <w:rsid w:val="00FE6A22"/>
    <w:rsid w:val="00FF72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DE79DC"/>
    <w:pPr>
      <w:tabs>
        <w:tab w:val="left" w:pos="360"/>
      </w:tabs>
      <w:ind w:left="360" w:hanging="360"/>
    </w:pPr>
    <w:rPr>
      <w:rFonts w:ascii="Times New Roman" w:hAnsi="Times New Roman"/>
    </w:rPr>
  </w:style>
  <w:style w:type="paragraph" w:styleId="BodyTextIndent">
    <w:name w:val="Body Text Indent"/>
    <w:rsid w:val="002C6318"/>
    <w:pPr>
      <w:ind w:firstLine="187"/>
      <w:jc w:val="both"/>
    </w:pPr>
    <w:rPr>
      <w:lang w:val="en-GB"/>
    </w:rPr>
  </w:style>
  <w:style w:type="character" w:styleId="Hyperlink">
    <w:name w:val="Hyperlink"/>
    <w:basedOn w:val="DefaultParagraphFont"/>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TextCharChar">
    <w:name w:val="Reference Text Char Char"/>
    <w:basedOn w:val="DefaultParagraphFont"/>
    <w:link w:val="ReferenceTextChar"/>
    <w:rsid w:val="00BC6C9C"/>
    <w:rPr>
      <w:szCs w:val="24"/>
      <w:lang w:val="en-GB" w:eastAsia="en-US" w:bidi="ar-SA"/>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134920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6F704-712B-4461-B900-78D3ACCA5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3250</Words>
  <Characters>16173</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19385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vkain</dc:creator>
  <cp:lastModifiedBy>vkain</cp:lastModifiedBy>
  <cp:revision>5</cp:revision>
  <cp:lastPrinted>2009-04-17T15:52:00Z</cp:lastPrinted>
  <dcterms:created xsi:type="dcterms:W3CDTF">2012-02-01T13:10:00Z</dcterms:created>
  <dcterms:modified xsi:type="dcterms:W3CDTF">2012-02-01T13:12:00Z</dcterms:modified>
</cp:coreProperties>
</file>