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0C1E5B" w:rsidP="00165665">
      <w:pPr>
        <w:pStyle w:val="Heading1"/>
      </w:pPr>
      <w:r>
        <w:t>Availability</w:t>
      </w:r>
      <w:r w:rsidR="00CD0C0D">
        <w:t xml:space="preserve"> – session 2</w:t>
      </w:r>
    </w:p>
    <w:p w:rsidR="00CD0C0D" w:rsidRDefault="000C1E5B" w:rsidP="00165665">
      <w:pPr>
        <w:pStyle w:val="AuthorList"/>
        <w:rPr>
          <w:lang w:val="en-US"/>
        </w:rPr>
      </w:pPr>
      <w:r>
        <w:rPr>
          <w:kern w:val="16"/>
          <w:lang w:val="en-US"/>
        </w:rPr>
        <w:t>J. Uythoven</w:t>
      </w:r>
      <w:r w:rsidR="008604D4">
        <w:rPr>
          <w:kern w:val="16"/>
          <w:lang w:val="en-US"/>
        </w:rPr>
        <w:t xml:space="preserve"> (chairman) and</w:t>
      </w:r>
      <w:r w:rsidR="00CD0C0D">
        <w:rPr>
          <w:kern w:val="16"/>
          <w:lang w:val="en-US"/>
        </w:rPr>
        <w:t xml:space="preserve"> M.</w:t>
      </w:r>
      <w:r w:rsidR="00217F6A" w:rsidRPr="00CD0C0D">
        <w:rPr>
          <w:kern w:val="16"/>
          <w:lang w:val="en-US"/>
        </w:rPr>
        <w:t xml:space="preserve"> Pojer</w:t>
      </w:r>
      <w:r w:rsidR="00CD0C0D">
        <w:rPr>
          <w:kern w:val="16"/>
          <w:lang w:val="en-US"/>
        </w:rPr>
        <w:t xml:space="preserve"> (</w:t>
      </w:r>
      <w:r w:rsidR="00B15D17">
        <w:rPr>
          <w:kern w:val="16"/>
          <w:lang w:val="en-US"/>
        </w:rPr>
        <w:t>s</w:t>
      </w:r>
      <w:r w:rsidR="00CD0C0D">
        <w:rPr>
          <w:kern w:val="16"/>
          <w:lang w:val="en-US"/>
        </w:rPr>
        <w:t xml:space="preserve">cientific secretary), </w:t>
      </w:r>
      <w:r w:rsidR="00CD0C0D" w:rsidRPr="00CD0C0D">
        <w:rPr>
          <w:kern w:val="16"/>
          <w:lang w:val="en-US"/>
        </w:rPr>
        <w:t xml:space="preserve">CERN, Geneva, </w:t>
      </w:r>
      <w:r w:rsidR="00CD0C0D" w:rsidRPr="00CD0C0D">
        <w:rPr>
          <w:lang w:val="en-US"/>
        </w:rPr>
        <w:t>Switzerland</w:t>
      </w:r>
    </w:p>
    <w:p w:rsidR="00165665" w:rsidRPr="00CD0C0D" w:rsidRDefault="00165665" w:rsidP="00165665">
      <w:pPr>
        <w:pStyle w:val="AuthorList"/>
        <w:rPr>
          <w:kern w:val="16"/>
          <w:lang w:val="en-US"/>
        </w:rPr>
        <w:sectPr w:rsidR="00165665" w:rsidRPr="00CD0C0D"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sidRPr="00CD0C0D">
        <w:rPr>
          <w:kern w:val="16"/>
          <w:lang w:val="en-US"/>
        </w:rPr>
        <w:br/>
      </w:r>
    </w:p>
    <w:p w:rsidR="00165665" w:rsidRDefault="00165665" w:rsidP="00165665">
      <w:pPr>
        <w:pStyle w:val="AbstractTitle"/>
        <w:rPr>
          <w:kern w:val="16"/>
        </w:rPr>
      </w:pPr>
      <w:r>
        <w:rPr>
          <w:kern w:val="16"/>
        </w:rPr>
        <w:lastRenderedPageBreak/>
        <w:t>Abstract</w:t>
      </w:r>
    </w:p>
    <w:p w:rsidR="00165665" w:rsidRDefault="004F3D50" w:rsidP="00165665">
      <w:pPr>
        <w:pStyle w:val="BodyTextIndent"/>
        <w:rPr>
          <w:kern w:val="16"/>
        </w:rPr>
      </w:pPr>
      <w:r>
        <w:rPr>
          <w:kern w:val="16"/>
        </w:rPr>
        <w:t>This session concentrated on the main players affecting the availability of the LHC: the Quench Protection System (QPS), the cryogenics system, the regularly foreseen technical stops and the effect of radiation on equipment failures. A forecast for operation in 2012 was made for all these items.</w:t>
      </w:r>
    </w:p>
    <w:p w:rsidR="00165665" w:rsidRDefault="000C1E5B" w:rsidP="00165665">
      <w:pPr>
        <w:pStyle w:val="Heading2"/>
        <w:spacing w:before="180"/>
      </w:pPr>
      <w:r w:rsidRPr="000C1E5B">
        <w:t>QPS - analysis of main problems, areas to target, possible improvements</w:t>
      </w:r>
      <w:r w:rsidR="00CD0C0D">
        <w:t xml:space="preserve">, </w:t>
      </w:r>
      <w:r>
        <w:t>R</w:t>
      </w:r>
      <w:r w:rsidR="00CD0C0D">
        <w:t xml:space="preserve">. </w:t>
      </w:r>
      <w:r>
        <w:t>Denz</w:t>
      </w:r>
    </w:p>
    <w:p w:rsidR="001853CA" w:rsidRPr="00582B74" w:rsidRDefault="00582B74" w:rsidP="00CD0C0D">
      <w:pPr>
        <w:pStyle w:val="BodyTextIndent"/>
        <w:rPr>
          <w:kern w:val="16"/>
        </w:rPr>
      </w:pPr>
      <w:r>
        <w:rPr>
          <w:kern w:val="16"/>
        </w:rPr>
        <w:t xml:space="preserve">Before analysing the problems experienced by the Quench Protection System, the </w:t>
      </w:r>
      <w:r w:rsidR="009A133B">
        <w:rPr>
          <w:kern w:val="16"/>
        </w:rPr>
        <w:t>presenter</w:t>
      </w:r>
      <w:r>
        <w:rPr>
          <w:kern w:val="16"/>
        </w:rPr>
        <w:t xml:space="preserve"> recalls its complexity, which lies in 544 circuits protected, 7568 quench detection systems and </w:t>
      </w:r>
      <w:r w:rsidR="008C7C65">
        <w:rPr>
          <w:kern w:val="16"/>
        </w:rPr>
        <w:t xml:space="preserve">in total </w:t>
      </w:r>
      <w:r>
        <w:rPr>
          <w:kern w:val="16"/>
        </w:rPr>
        <w:t>almost 14000 hardwired system interlocks.</w:t>
      </w:r>
    </w:p>
    <w:p w:rsidR="001853CA" w:rsidRDefault="006B129B" w:rsidP="00CD0C0D">
      <w:pPr>
        <w:pStyle w:val="BodyTextIndent"/>
        <w:rPr>
          <w:kern w:val="16"/>
        </w:rPr>
      </w:pPr>
      <w:r>
        <w:rPr>
          <w:kern w:val="16"/>
        </w:rPr>
        <w:t xml:space="preserve">During 2011, 54 interventions were triggered by hardware faults </w:t>
      </w:r>
      <w:r w:rsidR="008C77D7">
        <w:rPr>
          <w:kern w:val="16"/>
        </w:rPr>
        <w:t xml:space="preserve">on or </w:t>
      </w:r>
      <w:r>
        <w:rPr>
          <w:kern w:val="16"/>
        </w:rPr>
        <w:t>related to the QPS</w:t>
      </w:r>
      <w:r w:rsidR="00DB5660">
        <w:rPr>
          <w:kern w:val="16"/>
        </w:rPr>
        <w:t>, half of which on t</w:t>
      </w:r>
      <w:r w:rsidR="00D55D09">
        <w:rPr>
          <w:kern w:val="16"/>
        </w:rPr>
        <w:t>he quench heater power supplies</w:t>
      </w:r>
      <w:r w:rsidR="008E7AD7">
        <w:rPr>
          <w:kern w:val="16"/>
        </w:rPr>
        <w:t>.</w:t>
      </w:r>
      <w:r w:rsidR="00D55D09">
        <w:rPr>
          <w:kern w:val="16"/>
        </w:rPr>
        <w:t xml:space="preserve"> </w:t>
      </w:r>
      <w:r w:rsidR="008E7AD7">
        <w:rPr>
          <w:kern w:val="16"/>
        </w:rPr>
        <w:t>T</w:t>
      </w:r>
      <w:r w:rsidR="00D55D09">
        <w:rPr>
          <w:kern w:val="16"/>
        </w:rPr>
        <w:t xml:space="preserve">he problem </w:t>
      </w:r>
      <w:r w:rsidR="008E7AD7">
        <w:rPr>
          <w:kern w:val="16"/>
        </w:rPr>
        <w:t xml:space="preserve">of the quench heater power supplies </w:t>
      </w:r>
      <w:r w:rsidR="00D55D09">
        <w:rPr>
          <w:kern w:val="16"/>
        </w:rPr>
        <w:t xml:space="preserve">was progressively treated during the year </w:t>
      </w:r>
      <w:r w:rsidR="003E065F">
        <w:rPr>
          <w:kern w:val="16"/>
        </w:rPr>
        <w:t>b</w:t>
      </w:r>
      <w:r w:rsidR="00D55D09">
        <w:rPr>
          <w:kern w:val="16"/>
        </w:rPr>
        <w:t>y replacing the power supply switches, and will be definitely solved during the Christmas break. Another hardware problem is related to the F3 circuit breakers (12 trips in 2011, with 4 beam dumps): investigations were performed and a patch was proposed, with the swap of the F3 and F4 lines on the concerned QPS racks.</w:t>
      </w:r>
    </w:p>
    <w:p w:rsidR="00397E46" w:rsidRDefault="00444F1C" w:rsidP="00CD0C0D">
      <w:pPr>
        <w:pStyle w:val="BodyTextIndent"/>
        <w:rPr>
          <w:kern w:val="16"/>
        </w:rPr>
      </w:pPr>
      <w:r>
        <w:rPr>
          <w:kern w:val="16"/>
        </w:rPr>
        <w:t xml:space="preserve">The </w:t>
      </w:r>
      <w:r w:rsidR="009A133B">
        <w:rPr>
          <w:kern w:val="16"/>
        </w:rPr>
        <w:t>presenter</w:t>
      </w:r>
      <w:r>
        <w:rPr>
          <w:kern w:val="16"/>
        </w:rPr>
        <w:t xml:space="preserve"> identifies three main sources of faults</w:t>
      </w:r>
      <w:r w:rsidR="00397E46">
        <w:rPr>
          <w:kern w:val="16"/>
        </w:rPr>
        <w:t>:</w:t>
      </w:r>
    </w:p>
    <w:p w:rsidR="00397E46" w:rsidRDefault="00397E46" w:rsidP="00397E46">
      <w:pPr>
        <w:pStyle w:val="BodyTextIndent"/>
        <w:numPr>
          <w:ilvl w:val="0"/>
          <w:numId w:val="23"/>
        </w:numPr>
        <w:rPr>
          <w:kern w:val="16"/>
        </w:rPr>
      </w:pPr>
      <w:r>
        <w:rPr>
          <w:kern w:val="16"/>
        </w:rPr>
        <w:t xml:space="preserve">Radiation induced - 190 </w:t>
      </w:r>
      <w:r w:rsidR="00B15D17">
        <w:rPr>
          <w:kern w:val="16"/>
        </w:rPr>
        <w:t xml:space="preserve">faults </w:t>
      </w:r>
      <w:r>
        <w:rPr>
          <w:kern w:val="16"/>
        </w:rPr>
        <w:t>were induced by radiation, two third of which were mitigated by firmware updates on the DAQ systems.</w:t>
      </w:r>
    </w:p>
    <w:p w:rsidR="00397E46" w:rsidRDefault="00397E46" w:rsidP="00397E46">
      <w:pPr>
        <w:pStyle w:val="BodyTextIndent"/>
        <w:numPr>
          <w:ilvl w:val="0"/>
          <w:numId w:val="23"/>
        </w:numPr>
        <w:rPr>
          <w:kern w:val="16"/>
        </w:rPr>
      </w:pPr>
      <w:r>
        <w:rPr>
          <w:kern w:val="16"/>
        </w:rPr>
        <w:t>EMC - concerning Q9 and Q10 magnets during thunderstorm and general perturbations of the electrical network; a solution was proposed, to raise the detection threshold to 400 mV up to 4 kA.</w:t>
      </w:r>
    </w:p>
    <w:p w:rsidR="00397E46" w:rsidRDefault="00397E46" w:rsidP="00397E46">
      <w:pPr>
        <w:pStyle w:val="BodyTextIndent"/>
        <w:numPr>
          <w:ilvl w:val="0"/>
          <w:numId w:val="23"/>
        </w:numPr>
        <w:rPr>
          <w:kern w:val="16"/>
        </w:rPr>
      </w:pPr>
      <w:r>
        <w:rPr>
          <w:kern w:val="16"/>
        </w:rPr>
        <w:t xml:space="preserve">Tune feedback compatibility - </w:t>
      </w:r>
      <w:r w:rsidR="001D1845">
        <w:rPr>
          <w:kern w:val="16"/>
        </w:rPr>
        <w:t xml:space="preserve">already observed in the past, it had been partially mitigated with an increase of the QPS validation time (up to 190 ms); due to </w:t>
      </w:r>
      <w:r w:rsidR="008E7AD7">
        <w:rPr>
          <w:kern w:val="16"/>
        </w:rPr>
        <w:t xml:space="preserve">the observed </w:t>
      </w:r>
      <w:r w:rsidR="001D1845">
        <w:rPr>
          <w:kern w:val="16"/>
        </w:rPr>
        <w:t>problems</w:t>
      </w:r>
      <w:r w:rsidR="008E7AD7">
        <w:rPr>
          <w:kern w:val="16"/>
        </w:rPr>
        <w:t xml:space="preserve"> in 2011</w:t>
      </w:r>
      <w:r w:rsidR="001D1845">
        <w:rPr>
          <w:kern w:val="16"/>
        </w:rPr>
        <w:t>, an additional increase of the threshold up to 2 V, below 100 A, was suggested.</w:t>
      </w:r>
    </w:p>
    <w:p w:rsidR="001853CA" w:rsidRDefault="007D46FE" w:rsidP="00CD0C0D">
      <w:pPr>
        <w:pStyle w:val="BodyTextIndent"/>
        <w:rPr>
          <w:kern w:val="16"/>
        </w:rPr>
      </w:pPr>
      <w:r>
        <w:rPr>
          <w:kern w:val="16"/>
        </w:rPr>
        <w:t xml:space="preserve">Concerning the </w:t>
      </w:r>
      <w:r w:rsidR="00A41401">
        <w:rPr>
          <w:kern w:val="16"/>
        </w:rPr>
        <w:t xml:space="preserve">SEUs, 23 of them lead to a beam dump; their </w:t>
      </w:r>
      <w:r>
        <w:rPr>
          <w:kern w:val="16"/>
        </w:rPr>
        <w:t xml:space="preserve">distribution </w:t>
      </w:r>
      <w:r w:rsidR="00A41401">
        <w:rPr>
          <w:kern w:val="16"/>
        </w:rPr>
        <w:t>in the arc mostly points to a concentration between cells 8 and 11, with predominance for the sectors close to point 1. Also in terms of distribution of SEU in the underground areas, point 1 (UJ16 in particular) shows the highest concentration</w:t>
      </w:r>
      <w:r w:rsidR="0083402C">
        <w:rPr>
          <w:kern w:val="16"/>
        </w:rPr>
        <w:t>,</w:t>
      </w:r>
      <w:r w:rsidR="00A41401">
        <w:rPr>
          <w:kern w:val="16"/>
        </w:rPr>
        <w:t xml:space="preserve"> </w:t>
      </w:r>
      <w:r w:rsidR="0083402C">
        <w:rPr>
          <w:kern w:val="16"/>
        </w:rPr>
        <w:t>which</w:t>
      </w:r>
      <w:r w:rsidR="00A41401">
        <w:rPr>
          <w:kern w:val="16"/>
        </w:rPr>
        <w:t xml:space="preserve"> </w:t>
      </w:r>
      <w:r w:rsidR="00B15D17">
        <w:rPr>
          <w:kern w:val="16"/>
        </w:rPr>
        <w:t xml:space="preserve">is </w:t>
      </w:r>
      <w:r w:rsidR="00A41401">
        <w:rPr>
          <w:kern w:val="16"/>
        </w:rPr>
        <w:t xml:space="preserve">the </w:t>
      </w:r>
      <w:r w:rsidR="00444F1C">
        <w:rPr>
          <w:kern w:val="16"/>
        </w:rPr>
        <w:t xml:space="preserve">most important </w:t>
      </w:r>
      <w:r w:rsidR="00A41401">
        <w:rPr>
          <w:kern w:val="16"/>
        </w:rPr>
        <w:t>reasons for the shielding activity launched for the Christmas break</w:t>
      </w:r>
      <w:r w:rsidR="0083402C">
        <w:rPr>
          <w:kern w:val="16"/>
        </w:rPr>
        <w:t>.</w:t>
      </w:r>
    </w:p>
    <w:p w:rsidR="00281800" w:rsidRDefault="00444F1C" w:rsidP="00281800">
      <w:pPr>
        <w:pStyle w:val="BodyTextIndent"/>
        <w:rPr>
          <w:kern w:val="16"/>
        </w:rPr>
      </w:pPr>
      <w:r>
        <w:rPr>
          <w:kern w:val="16"/>
        </w:rPr>
        <w:lastRenderedPageBreak/>
        <w:t>During the ion run, a destructive event was also observed for the first time on the QPS.</w:t>
      </w:r>
    </w:p>
    <w:p w:rsidR="00A16148" w:rsidRDefault="00A16148" w:rsidP="00281800">
      <w:pPr>
        <w:pStyle w:val="BodyTextIndent"/>
        <w:rPr>
          <w:kern w:val="16"/>
        </w:rPr>
      </w:pPr>
      <w:r>
        <w:rPr>
          <w:kern w:val="16"/>
        </w:rPr>
        <w:t>It is important to observe that n</w:t>
      </w:r>
      <w:r w:rsidRPr="009A0B49">
        <w:rPr>
          <w:kern w:val="16"/>
        </w:rPr>
        <w:t>one of the observed faults caused a total loss of magnet and/or circuit protection</w:t>
      </w:r>
      <w:r>
        <w:rPr>
          <w:kern w:val="16"/>
        </w:rPr>
        <w:t>.</w:t>
      </w:r>
    </w:p>
    <w:p w:rsidR="00281800" w:rsidRDefault="00281800" w:rsidP="00281800">
      <w:pPr>
        <w:pStyle w:val="Heading3"/>
        <w:rPr>
          <w:kern w:val="16"/>
        </w:rPr>
      </w:pPr>
      <w:r>
        <w:rPr>
          <w:kern w:val="16"/>
        </w:rPr>
        <w:t>Mitigation and consolidation measures</w:t>
      </w:r>
    </w:p>
    <w:p w:rsidR="00444F1C" w:rsidRPr="00B419D8" w:rsidRDefault="00B419D8" w:rsidP="00CD0C0D">
      <w:pPr>
        <w:pStyle w:val="BodyTextIndent"/>
        <w:rPr>
          <w:kern w:val="16"/>
          <w:u w:val="single"/>
        </w:rPr>
      </w:pPr>
      <w:r w:rsidRPr="00B419D8">
        <w:rPr>
          <w:kern w:val="16"/>
          <w:u w:val="single"/>
        </w:rPr>
        <w:t>DAQ systems.</w:t>
      </w:r>
    </w:p>
    <w:p w:rsidR="001853CA" w:rsidRDefault="0083402C" w:rsidP="00B419D8">
      <w:pPr>
        <w:pStyle w:val="BodyTextIndent"/>
        <w:rPr>
          <w:kern w:val="16"/>
        </w:rPr>
      </w:pPr>
      <w:r>
        <w:rPr>
          <w:kern w:val="16"/>
        </w:rPr>
        <w:t>A f</w:t>
      </w:r>
      <w:r w:rsidR="00B419D8">
        <w:rPr>
          <w:kern w:val="16"/>
        </w:rPr>
        <w:t>irmware upgrade was used as a first mitigation measure, but the full consolidation requires a hardware upgrade: the production of new boards for the DS areas should be ready for early 2012, while the replacement of the fieldbus coupler chip (</w:t>
      </w:r>
      <w:r w:rsidR="00B419D8" w:rsidRPr="00B419D8">
        <w:rPr>
          <w:kern w:val="16"/>
        </w:rPr>
        <w:t>MicroFip™) by NanoFip</w:t>
      </w:r>
      <w:r w:rsidR="00B419D8" w:rsidRPr="00B419D8">
        <w:rPr>
          <w:kern w:val="16"/>
          <w:vertAlign w:val="superscript"/>
        </w:rPr>
        <w:t>CERN</w:t>
      </w:r>
      <w:r w:rsidR="00192871">
        <w:rPr>
          <w:kern w:val="16"/>
        </w:rPr>
        <w:t xml:space="preserve"> will take place only during LS1.</w:t>
      </w:r>
    </w:p>
    <w:p w:rsidR="00192871" w:rsidRPr="00192871" w:rsidRDefault="00192871" w:rsidP="00B419D8">
      <w:pPr>
        <w:pStyle w:val="BodyTextIndent"/>
        <w:rPr>
          <w:kern w:val="16"/>
          <w:u w:val="single"/>
        </w:rPr>
      </w:pPr>
      <w:r w:rsidRPr="00192871">
        <w:rPr>
          <w:kern w:val="16"/>
          <w:u w:val="single"/>
        </w:rPr>
        <w:t>nQPS splice protection.</w:t>
      </w:r>
    </w:p>
    <w:p w:rsidR="001853CA" w:rsidRDefault="00192871" w:rsidP="00CD0C0D">
      <w:pPr>
        <w:pStyle w:val="BodyTextIndent"/>
        <w:rPr>
          <w:kern w:val="16"/>
        </w:rPr>
      </w:pPr>
      <w:r>
        <w:rPr>
          <w:kern w:val="16"/>
        </w:rPr>
        <w:t>A partial firmware upgrade is expected for the Christmas break (</w:t>
      </w:r>
      <w:r w:rsidRPr="00192871">
        <w:rPr>
          <w:kern w:val="16"/>
        </w:rPr>
        <w:t>half cells 8 to 11 around IP1, 2, 5, and 8)</w:t>
      </w:r>
      <w:r>
        <w:rPr>
          <w:kern w:val="16"/>
        </w:rPr>
        <w:t>, while a hardware upgrade is under study and the design is expected for 2012.</w:t>
      </w:r>
    </w:p>
    <w:p w:rsidR="00192871" w:rsidRPr="000E1235" w:rsidRDefault="000E1235" w:rsidP="00CD0C0D">
      <w:pPr>
        <w:pStyle w:val="BodyTextIndent"/>
        <w:rPr>
          <w:kern w:val="16"/>
          <w:u w:val="single"/>
        </w:rPr>
      </w:pPr>
      <w:r w:rsidRPr="000E1235">
        <w:rPr>
          <w:kern w:val="16"/>
          <w:u w:val="single"/>
        </w:rPr>
        <w:t>IPQ, IPD and IT protection.</w:t>
      </w:r>
    </w:p>
    <w:p w:rsidR="000E1235" w:rsidRDefault="000E1235" w:rsidP="00CD0C0D">
      <w:pPr>
        <w:pStyle w:val="BodyTextIndent"/>
        <w:rPr>
          <w:kern w:val="16"/>
        </w:rPr>
      </w:pPr>
      <w:r>
        <w:rPr>
          <w:kern w:val="16"/>
        </w:rPr>
        <w:t>The series production of new digital quench detection systems</w:t>
      </w:r>
      <w:r w:rsidR="009A0B49">
        <w:rPr>
          <w:kern w:val="16"/>
        </w:rPr>
        <w:t>,</w:t>
      </w:r>
      <w:r>
        <w:rPr>
          <w:kern w:val="16"/>
        </w:rPr>
        <w:t xml:space="preserve"> similar to the symmetric quench detection board for nQPS, will be launched i</w:t>
      </w:r>
      <w:r w:rsidR="009A0B49">
        <w:rPr>
          <w:kern w:val="16"/>
        </w:rPr>
        <w:t xml:space="preserve">n early 2012: 200 boards are required for the consolidation of </w:t>
      </w:r>
      <w:r w:rsidR="003E065F">
        <w:rPr>
          <w:kern w:val="16"/>
        </w:rPr>
        <w:t>UJ14,</w:t>
      </w:r>
      <w:r w:rsidR="0083402C">
        <w:rPr>
          <w:kern w:val="16"/>
        </w:rPr>
        <w:t xml:space="preserve"> </w:t>
      </w:r>
      <w:r w:rsidR="003E065F">
        <w:rPr>
          <w:kern w:val="16"/>
        </w:rPr>
        <w:t>16,</w:t>
      </w:r>
      <w:r w:rsidR="0083402C">
        <w:rPr>
          <w:kern w:val="16"/>
        </w:rPr>
        <w:t xml:space="preserve"> </w:t>
      </w:r>
      <w:r w:rsidR="003E065F">
        <w:rPr>
          <w:kern w:val="16"/>
        </w:rPr>
        <w:t>56 and</w:t>
      </w:r>
      <w:r w:rsidR="009A0B49" w:rsidRPr="009A0B49">
        <w:rPr>
          <w:kern w:val="16"/>
        </w:rPr>
        <w:t xml:space="preserve"> RR13,</w:t>
      </w:r>
      <w:r w:rsidR="0083402C">
        <w:rPr>
          <w:kern w:val="16"/>
        </w:rPr>
        <w:t xml:space="preserve"> </w:t>
      </w:r>
      <w:r w:rsidR="009A0B49" w:rsidRPr="009A0B49">
        <w:rPr>
          <w:kern w:val="16"/>
        </w:rPr>
        <w:t>17,</w:t>
      </w:r>
      <w:r w:rsidR="0083402C">
        <w:rPr>
          <w:kern w:val="16"/>
        </w:rPr>
        <w:t xml:space="preserve"> </w:t>
      </w:r>
      <w:r w:rsidR="009A0B49" w:rsidRPr="009A0B49">
        <w:rPr>
          <w:kern w:val="16"/>
        </w:rPr>
        <w:t>53</w:t>
      </w:r>
      <w:r w:rsidR="0083402C">
        <w:rPr>
          <w:kern w:val="16"/>
        </w:rPr>
        <w:t xml:space="preserve"> and </w:t>
      </w:r>
      <w:r w:rsidR="009A0B49" w:rsidRPr="009A0B49">
        <w:rPr>
          <w:kern w:val="16"/>
        </w:rPr>
        <w:t>57</w:t>
      </w:r>
      <w:r w:rsidR="009A0B49">
        <w:rPr>
          <w:kern w:val="16"/>
        </w:rPr>
        <w:t>.</w:t>
      </w:r>
    </w:p>
    <w:p w:rsidR="00192871" w:rsidRPr="009A0B49" w:rsidRDefault="009A0B49" w:rsidP="00CD0C0D">
      <w:pPr>
        <w:pStyle w:val="BodyTextIndent"/>
        <w:rPr>
          <w:kern w:val="16"/>
          <w:u w:val="single"/>
        </w:rPr>
      </w:pPr>
      <w:r w:rsidRPr="009A0B49">
        <w:rPr>
          <w:kern w:val="16"/>
          <w:u w:val="single"/>
        </w:rPr>
        <w:t>600 A protection.</w:t>
      </w:r>
    </w:p>
    <w:p w:rsidR="009A0B49" w:rsidRDefault="009A0B49" w:rsidP="00CD0C0D">
      <w:pPr>
        <w:pStyle w:val="BodyTextIndent"/>
        <w:rPr>
          <w:kern w:val="16"/>
        </w:rPr>
      </w:pPr>
      <w:r>
        <w:rPr>
          <w:kern w:val="16"/>
        </w:rPr>
        <w:t xml:space="preserve">The design of new digital quench detection systems similar to nDQQDI board for the nQPS is under development and the production should start mid 2012: 300 boards are required for the consolidation of </w:t>
      </w:r>
      <w:r w:rsidRPr="009A0B49">
        <w:rPr>
          <w:kern w:val="16"/>
        </w:rPr>
        <w:t>UJ14,</w:t>
      </w:r>
      <w:r w:rsidR="0083402C">
        <w:rPr>
          <w:kern w:val="16"/>
        </w:rPr>
        <w:t xml:space="preserve"> </w:t>
      </w:r>
      <w:r w:rsidRPr="009A0B49">
        <w:rPr>
          <w:kern w:val="16"/>
        </w:rPr>
        <w:t>16,</w:t>
      </w:r>
      <w:r w:rsidR="0083402C">
        <w:rPr>
          <w:kern w:val="16"/>
        </w:rPr>
        <w:t xml:space="preserve"> </w:t>
      </w:r>
      <w:r w:rsidRPr="009A0B49">
        <w:rPr>
          <w:kern w:val="16"/>
        </w:rPr>
        <w:t>56, RR13,</w:t>
      </w:r>
      <w:r w:rsidR="0083402C">
        <w:rPr>
          <w:kern w:val="16"/>
        </w:rPr>
        <w:t xml:space="preserve"> </w:t>
      </w:r>
      <w:r w:rsidRPr="009A0B49">
        <w:rPr>
          <w:kern w:val="16"/>
        </w:rPr>
        <w:t>17,</w:t>
      </w:r>
      <w:r w:rsidR="0083402C">
        <w:rPr>
          <w:kern w:val="16"/>
        </w:rPr>
        <w:t xml:space="preserve"> </w:t>
      </w:r>
      <w:r w:rsidRPr="009A0B49">
        <w:rPr>
          <w:kern w:val="16"/>
        </w:rPr>
        <w:t>53,</w:t>
      </w:r>
      <w:r w:rsidR="0083402C">
        <w:rPr>
          <w:kern w:val="16"/>
        </w:rPr>
        <w:t xml:space="preserve"> </w:t>
      </w:r>
      <w:r w:rsidRPr="009A0B49">
        <w:rPr>
          <w:kern w:val="16"/>
        </w:rPr>
        <w:t>57,</w:t>
      </w:r>
      <w:r w:rsidR="0083402C">
        <w:rPr>
          <w:kern w:val="16"/>
        </w:rPr>
        <w:t xml:space="preserve"> </w:t>
      </w:r>
      <w:r w:rsidRPr="009A0B49">
        <w:rPr>
          <w:kern w:val="16"/>
        </w:rPr>
        <w:t>73</w:t>
      </w:r>
      <w:r w:rsidR="0083402C">
        <w:rPr>
          <w:kern w:val="16"/>
        </w:rPr>
        <w:t xml:space="preserve"> and </w:t>
      </w:r>
      <w:r w:rsidRPr="009A0B49">
        <w:rPr>
          <w:kern w:val="16"/>
        </w:rPr>
        <w:t>77</w:t>
      </w:r>
      <w:r>
        <w:rPr>
          <w:kern w:val="16"/>
        </w:rPr>
        <w:t>.</w:t>
      </w:r>
    </w:p>
    <w:p w:rsidR="00A16148" w:rsidRDefault="00A16148" w:rsidP="00A16148">
      <w:pPr>
        <w:pStyle w:val="Heading3"/>
        <w:rPr>
          <w:kern w:val="16"/>
        </w:rPr>
      </w:pPr>
      <w:r>
        <w:rPr>
          <w:kern w:val="16"/>
        </w:rPr>
        <w:t>Questions and answers</w:t>
      </w:r>
    </w:p>
    <w:p w:rsidR="00192871" w:rsidRDefault="003E065F" w:rsidP="00CD0C0D">
      <w:pPr>
        <w:pStyle w:val="BodyTextIndent"/>
        <w:rPr>
          <w:kern w:val="16"/>
        </w:rPr>
      </w:pPr>
      <w:r w:rsidRPr="003E065F">
        <w:rPr>
          <w:b/>
          <w:kern w:val="16"/>
        </w:rPr>
        <w:t>M. Lamont</w:t>
      </w:r>
      <w:r>
        <w:rPr>
          <w:kern w:val="16"/>
        </w:rPr>
        <w:t xml:space="preserve"> asked how many dumps we should expect for 2012, considering that we will mitigate many of them, but we will increase the luminosity. </w:t>
      </w:r>
      <w:r w:rsidRPr="003E065F">
        <w:rPr>
          <w:b/>
          <w:kern w:val="16"/>
        </w:rPr>
        <w:t>R.</w:t>
      </w:r>
      <w:r>
        <w:rPr>
          <w:kern w:val="16"/>
        </w:rPr>
        <w:t xml:space="preserve"> We will keep the number stable</w:t>
      </w:r>
      <w:r w:rsidR="0083402C">
        <w:rPr>
          <w:kern w:val="16"/>
        </w:rPr>
        <w:t xml:space="preserve"> </w:t>
      </w:r>
      <w:r w:rsidR="00B15D17">
        <w:rPr>
          <w:kern w:val="16"/>
        </w:rPr>
        <w:t>despite</w:t>
      </w:r>
      <w:r w:rsidR="0083402C">
        <w:rPr>
          <w:kern w:val="16"/>
        </w:rPr>
        <w:t xml:space="preserve"> increased luminosity</w:t>
      </w:r>
      <w:r>
        <w:rPr>
          <w:kern w:val="16"/>
        </w:rPr>
        <w:t>.</w:t>
      </w:r>
    </w:p>
    <w:p w:rsidR="003E065F" w:rsidRDefault="003E065F" w:rsidP="00CD0C0D">
      <w:pPr>
        <w:pStyle w:val="BodyTextIndent"/>
        <w:rPr>
          <w:kern w:val="16"/>
        </w:rPr>
      </w:pPr>
      <w:r w:rsidRPr="003E065F">
        <w:rPr>
          <w:b/>
          <w:kern w:val="16"/>
        </w:rPr>
        <w:t>E. Todesco</w:t>
      </w:r>
      <w:r>
        <w:rPr>
          <w:kern w:val="16"/>
        </w:rPr>
        <w:t xml:space="preserve"> asked if something has been planned for the present Christmas stop on the undulators. </w:t>
      </w:r>
      <w:r w:rsidRPr="009432AD">
        <w:rPr>
          <w:b/>
          <w:kern w:val="16"/>
        </w:rPr>
        <w:t>R.</w:t>
      </w:r>
      <w:r>
        <w:rPr>
          <w:kern w:val="16"/>
        </w:rPr>
        <w:t xml:space="preserve"> Answered that they will be addressed only in LS1, with the repair or replacement of the faulty one. </w:t>
      </w:r>
      <w:r w:rsidRPr="009432AD">
        <w:rPr>
          <w:b/>
          <w:kern w:val="16"/>
        </w:rPr>
        <w:t>E.</w:t>
      </w:r>
      <w:r>
        <w:rPr>
          <w:kern w:val="16"/>
        </w:rPr>
        <w:t xml:space="preserve"> Asked again if something can be done on the signal drift. </w:t>
      </w:r>
      <w:r w:rsidRPr="009432AD">
        <w:rPr>
          <w:b/>
          <w:kern w:val="16"/>
        </w:rPr>
        <w:t>R.</w:t>
      </w:r>
      <w:r w:rsidR="009432AD">
        <w:rPr>
          <w:kern w:val="16"/>
        </w:rPr>
        <w:t xml:space="preserve"> We are working on that.</w:t>
      </w:r>
    </w:p>
    <w:p w:rsidR="0056334B" w:rsidRDefault="00A16148" w:rsidP="0056334B">
      <w:pPr>
        <w:pStyle w:val="Heading2"/>
        <w:spacing w:before="180"/>
      </w:pPr>
      <w:r w:rsidRPr="00A16148">
        <w:t>Cryogenics - analysis, main problems, SEU</w:t>
      </w:r>
      <w:r>
        <w:t>’</w:t>
      </w:r>
      <w:r w:rsidRPr="00A16148">
        <w:t>s, beam related issues</w:t>
      </w:r>
      <w:r w:rsidR="0056334B">
        <w:t xml:space="preserve">, </w:t>
      </w:r>
      <w:r>
        <w:t>S.Claud</w:t>
      </w:r>
      <w:r w:rsidR="0056334B">
        <w:t>et</w:t>
      </w:r>
    </w:p>
    <w:p w:rsidR="008B5C39" w:rsidRDefault="009432AD" w:rsidP="009432AD">
      <w:pPr>
        <w:pStyle w:val="BodyTextIndent"/>
        <w:rPr>
          <w:kern w:val="16"/>
        </w:rPr>
      </w:pPr>
      <w:r>
        <w:rPr>
          <w:kern w:val="16"/>
        </w:rPr>
        <w:t>The startin</w:t>
      </w:r>
      <w:r w:rsidR="008B5C39">
        <w:rPr>
          <w:kern w:val="16"/>
        </w:rPr>
        <w:t>g point</w:t>
      </w:r>
      <w:r>
        <w:rPr>
          <w:kern w:val="16"/>
        </w:rPr>
        <w:t xml:space="preserve"> is the result obtained by cryogenics in 2010</w:t>
      </w:r>
      <w:r w:rsidR="009506A6">
        <w:rPr>
          <w:kern w:val="16"/>
        </w:rPr>
        <w:t>, with</w:t>
      </w:r>
      <w:r w:rsidR="008B5C39">
        <w:rPr>
          <w:kern w:val="16"/>
        </w:rPr>
        <w:t xml:space="preserve"> 91.5% availability </w:t>
      </w:r>
      <w:r w:rsidR="009506A6">
        <w:rPr>
          <w:kern w:val="16"/>
        </w:rPr>
        <w:t xml:space="preserve">and </w:t>
      </w:r>
      <w:r w:rsidR="008B5C39">
        <w:rPr>
          <w:kern w:val="16"/>
        </w:rPr>
        <w:t>a nice learning curve</w:t>
      </w:r>
      <w:r w:rsidR="009506A6">
        <w:rPr>
          <w:kern w:val="16"/>
        </w:rPr>
        <w:t xml:space="preserve"> through the year</w:t>
      </w:r>
      <w:r w:rsidR="008B5C39">
        <w:rPr>
          <w:kern w:val="16"/>
        </w:rPr>
        <w:t>.</w:t>
      </w:r>
      <w:r>
        <w:rPr>
          <w:kern w:val="16"/>
        </w:rPr>
        <w:t xml:space="preserve"> These data were made accessible thanks to a v</w:t>
      </w:r>
      <w:r w:rsidR="008B5C39">
        <w:rPr>
          <w:kern w:val="16"/>
        </w:rPr>
        <w:t xml:space="preserve">ery detailed method of collection of information, with spreadsheets handled by the local control rooms (with failure description, length) </w:t>
      </w:r>
      <w:r w:rsidR="008B5C39">
        <w:rPr>
          <w:kern w:val="16"/>
        </w:rPr>
        <w:lastRenderedPageBreak/>
        <w:t xml:space="preserve">and by the </w:t>
      </w:r>
      <w:r w:rsidR="009A133B">
        <w:rPr>
          <w:kern w:val="16"/>
        </w:rPr>
        <w:t>presenter</w:t>
      </w:r>
      <w:r w:rsidR="008B5C39">
        <w:rPr>
          <w:kern w:val="16"/>
        </w:rPr>
        <w:t>, for periodic global performance.</w:t>
      </w:r>
    </w:p>
    <w:p w:rsidR="00BC3D26" w:rsidRDefault="00AC3DBD" w:rsidP="00363B99">
      <w:pPr>
        <w:pStyle w:val="BodyTextIndent"/>
        <w:rPr>
          <w:kern w:val="16"/>
        </w:rPr>
      </w:pPr>
      <w:r>
        <w:rPr>
          <w:kern w:val="16"/>
        </w:rPr>
        <w:t>In 2011, the effects of radiation started to become evident, leading to degraded performance of cryogenics, partially mitigated after the summer period</w:t>
      </w:r>
      <w:r w:rsidR="009506A6">
        <w:rPr>
          <w:kern w:val="16"/>
        </w:rPr>
        <w:t>. T</w:t>
      </w:r>
      <w:r>
        <w:rPr>
          <w:kern w:val="16"/>
        </w:rPr>
        <w:t xml:space="preserve">he </w:t>
      </w:r>
      <w:r w:rsidR="00363B99">
        <w:rPr>
          <w:kern w:val="16"/>
        </w:rPr>
        <w:t>global availability went down to 89.7%, with a consistent 2.5% reduction in performance due to SEU; also the number of electrical perturbations increased to 3.5% (from the 2.7% the previous year).</w:t>
      </w:r>
      <w:r w:rsidR="003D5C80">
        <w:rPr>
          <w:kern w:val="16"/>
        </w:rPr>
        <w:t xml:space="preserve"> </w:t>
      </w:r>
    </w:p>
    <w:p w:rsidR="003D5C80" w:rsidRDefault="00BC3D26" w:rsidP="00363B99">
      <w:pPr>
        <w:pStyle w:val="BodyTextIndent"/>
        <w:rPr>
          <w:kern w:val="16"/>
        </w:rPr>
      </w:pPr>
      <w:r>
        <w:rPr>
          <w:kern w:val="16"/>
        </w:rPr>
        <w:t>In particular, the SEUs were responsible for 25 beam dumps and 210h of cryogenics downtime. An important intervention will take place during the Christmas stop, aimed at correcting a common SEU effect of change in gain: 1200 boards will be treated.</w:t>
      </w:r>
      <w:r w:rsidR="003D5C80" w:rsidRPr="003D5C80">
        <w:rPr>
          <w:kern w:val="16"/>
        </w:rPr>
        <w:t xml:space="preserve"> </w:t>
      </w:r>
    </w:p>
    <w:p w:rsidR="00363B99" w:rsidRDefault="003D5C80" w:rsidP="00363B99">
      <w:pPr>
        <w:pStyle w:val="BodyTextIndent"/>
        <w:rPr>
          <w:kern w:val="16"/>
        </w:rPr>
      </w:pPr>
      <w:r>
        <w:rPr>
          <w:kern w:val="16"/>
        </w:rPr>
        <w:t>Operation was improved by tuning the valves and heaters setting to stabilise the beam screen temperatures with variable peak loads due to the beam.</w:t>
      </w:r>
    </w:p>
    <w:p w:rsidR="00BC3D26" w:rsidRDefault="00BC3D26" w:rsidP="00363B99">
      <w:pPr>
        <w:pStyle w:val="BodyTextIndent"/>
        <w:rPr>
          <w:kern w:val="16"/>
        </w:rPr>
      </w:pPr>
      <w:r>
        <w:rPr>
          <w:kern w:val="16"/>
        </w:rPr>
        <w:t xml:space="preserve">Also, during 2011, a large number of faults </w:t>
      </w:r>
      <w:r w:rsidR="00824778">
        <w:rPr>
          <w:kern w:val="16"/>
        </w:rPr>
        <w:t>involved the sensitive CPU part of the cryogenics PLCs: their sensitivity to radiation was responsible for 2% downtime. Heavy works to complete the full relocation of the CPU at point</w:t>
      </w:r>
      <w:r w:rsidR="009506A6">
        <w:rPr>
          <w:kern w:val="16"/>
        </w:rPr>
        <w:t> </w:t>
      </w:r>
      <w:r w:rsidR="00824778">
        <w:rPr>
          <w:kern w:val="16"/>
        </w:rPr>
        <w:t>8 will be carried out during the Chris</w:t>
      </w:r>
      <w:r w:rsidR="00FA7850">
        <w:rPr>
          <w:kern w:val="16"/>
        </w:rPr>
        <w:t>tmas stop, plus relocation</w:t>
      </w:r>
      <w:r w:rsidR="009506A6">
        <w:rPr>
          <w:kern w:val="16"/>
        </w:rPr>
        <w:t>s</w:t>
      </w:r>
      <w:r w:rsidR="00FA7850">
        <w:rPr>
          <w:kern w:val="16"/>
        </w:rPr>
        <w:t xml:space="preserve"> at point4 and 6.</w:t>
      </w:r>
    </w:p>
    <w:p w:rsidR="00FA7850" w:rsidRDefault="00FA7850" w:rsidP="00363B99">
      <w:pPr>
        <w:pStyle w:val="BodyTextIndent"/>
        <w:rPr>
          <w:kern w:val="16"/>
        </w:rPr>
      </w:pPr>
      <w:r>
        <w:rPr>
          <w:kern w:val="16"/>
        </w:rPr>
        <w:t xml:space="preserve">Some worries were raised by the </w:t>
      </w:r>
      <w:r w:rsidR="009A133B">
        <w:rPr>
          <w:kern w:val="16"/>
        </w:rPr>
        <w:t>presenter</w:t>
      </w:r>
      <w:r>
        <w:rPr>
          <w:kern w:val="16"/>
        </w:rPr>
        <w:t xml:space="preserve"> concerning the spare components. </w:t>
      </w:r>
      <w:r w:rsidR="009506A6">
        <w:rPr>
          <w:kern w:val="16"/>
        </w:rPr>
        <w:t xml:space="preserve"> D</w:t>
      </w:r>
      <w:r>
        <w:rPr>
          <w:kern w:val="16"/>
        </w:rPr>
        <w:t>uring th</w:t>
      </w:r>
      <w:r w:rsidR="000516B7">
        <w:rPr>
          <w:kern w:val="16"/>
        </w:rPr>
        <w:t>ese first years of operation, cryogenics</w:t>
      </w:r>
      <w:r>
        <w:rPr>
          <w:kern w:val="16"/>
        </w:rPr>
        <w:t xml:space="preserve"> could </w:t>
      </w:r>
      <w:r w:rsidR="000516B7">
        <w:rPr>
          <w:kern w:val="16"/>
        </w:rPr>
        <w:t>‘</w:t>
      </w:r>
      <w:r w:rsidR="00A07486">
        <w:rPr>
          <w:kern w:val="16"/>
        </w:rPr>
        <w:t>survive</w:t>
      </w:r>
      <w:r w:rsidR="000516B7">
        <w:rPr>
          <w:kern w:val="16"/>
        </w:rPr>
        <w:t>’</w:t>
      </w:r>
      <w:r w:rsidR="00A07486">
        <w:rPr>
          <w:kern w:val="16"/>
        </w:rPr>
        <w:t xml:space="preserve"> </w:t>
      </w:r>
      <w:r w:rsidR="000516B7">
        <w:rPr>
          <w:kern w:val="16"/>
        </w:rPr>
        <w:t>by cannibalizing the cryoplants that were</w:t>
      </w:r>
      <w:r w:rsidR="000516B7" w:rsidRPr="000516B7">
        <w:rPr>
          <w:kern w:val="16"/>
        </w:rPr>
        <w:t xml:space="preserve"> </w:t>
      </w:r>
      <w:r w:rsidR="000516B7">
        <w:rPr>
          <w:kern w:val="16"/>
        </w:rPr>
        <w:t>stopped</w:t>
      </w:r>
      <w:r w:rsidR="009432AD">
        <w:rPr>
          <w:kern w:val="16"/>
        </w:rPr>
        <w:t>,</w:t>
      </w:r>
      <w:r w:rsidR="000516B7">
        <w:rPr>
          <w:kern w:val="16"/>
        </w:rPr>
        <w:t xml:space="preserve"> due to limited need of cooling power with reduced energy/intensity. </w:t>
      </w:r>
      <w:r w:rsidR="00F03E9C">
        <w:rPr>
          <w:kern w:val="16"/>
        </w:rPr>
        <w:t>A complete refurbishment is needed for LS1. In addition, test benches are being built for validation of spares and teams</w:t>
      </w:r>
      <w:r w:rsidR="009506A6">
        <w:rPr>
          <w:kern w:val="16"/>
        </w:rPr>
        <w:t xml:space="preserve"> being trained</w:t>
      </w:r>
      <w:r w:rsidR="00F03E9C">
        <w:rPr>
          <w:kern w:val="16"/>
        </w:rPr>
        <w:t xml:space="preserve">. Also, during the Christmas stop, all bearings of the screw compressors </w:t>
      </w:r>
      <w:proofErr w:type="gramStart"/>
      <w:r w:rsidR="00F03E9C">
        <w:rPr>
          <w:kern w:val="16"/>
        </w:rPr>
        <w:t>will  be</w:t>
      </w:r>
      <w:proofErr w:type="gramEnd"/>
      <w:r w:rsidR="00F03E9C">
        <w:rPr>
          <w:kern w:val="16"/>
        </w:rPr>
        <w:t xml:space="preserve"> changed, as a result of the degradation of some of them (a major finding in 2011).</w:t>
      </w:r>
    </w:p>
    <w:p w:rsidR="006D4389" w:rsidRDefault="006D4389" w:rsidP="00363B99">
      <w:pPr>
        <w:pStyle w:val="BodyTextIndent"/>
        <w:rPr>
          <w:kern w:val="16"/>
        </w:rPr>
      </w:pPr>
      <w:r>
        <w:rPr>
          <w:kern w:val="16"/>
        </w:rPr>
        <w:t xml:space="preserve">The </w:t>
      </w:r>
      <w:r w:rsidR="009506A6">
        <w:rPr>
          <w:kern w:val="16"/>
        </w:rPr>
        <w:t xml:space="preserve">optimisation </w:t>
      </w:r>
      <w:r>
        <w:rPr>
          <w:kern w:val="16"/>
        </w:rPr>
        <w:t xml:space="preserve">of </w:t>
      </w:r>
      <w:proofErr w:type="spellStart"/>
      <w:r>
        <w:rPr>
          <w:kern w:val="16"/>
        </w:rPr>
        <w:t>cryoplants</w:t>
      </w:r>
      <w:proofErr w:type="spellEnd"/>
      <w:r>
        <w:rPr>
          <w:kern w:val="16"/>
        </w:rPr>
        <w:t xml:space="preserve"> also allowed in 2011 a power consumption reduction of about 8 MW</w:t>
      </w:r>
      <w:r w:rsidR="003D5C80">
        <w:rPr>
          <w:kern w:val="16"/>
        </w:rPr>
        <w:t xml:space="preserve"> compared to nominal operation</w:t>
      </w:r>
      <w:r>
        <w:rPr>
          <w:kern w:val="16"/>
        </w:rPr>
        <w:t xml:space="preserve">, which traduces in </w:t>
      </w:r>
      <w:r w:rsidR="000A38ED">
        <w:rPr>
          <w:kern w:val="16"/>
        </w:rPr>
        <w:t>a gain of about 3 MCHF/year.</w:t>
      </w:r>
      <w:r w:rsidR="003D5C80">
        <w:rPr>
          <w:kern w:val="16"/>
        </w:rPr>
        <w:t xml:space="preserve"> Helium losses were also reduced, with a net gain of 20 tonnes compared to previous years, about 1 MCHF.</w:t>
      </w:r>
    </w:p>
    <w:p w:rsidR="00F03E9C" w:rsidRDefault="00F15E77" w:rsidP="00363B99">
      <w:pPr>
        <w:pStyle w:val="BodyTextIndent"/>
        <w:rPr>
          <w:kern w:val="16"/>
        </w:rPr>
      </w:pPr>
      <w:r>
        <w:rPr>
          <w:kern w:val="16"/>
        </w:rPr>
        <w:t>Another important aspect to be faced during this Christmas break and during LS1 is the presence of leaks in the insulation vacuum. The one in the QRL of sector 45 was already identified at the level of the line C compensator, but others are still under investigation. A joint approach between cryogenics and vacuum experts is ongoing.</w:t>
      </w:r>
    </w:p>
    <w:p w:rsidR="000A38ED" w:rsidRDefault="00F15E77" w:rsidP="000A38ED">
      <w:pPr>
        <w:pStyle w:val="BodyTextIndent"/>
        <w:rPr>
          <w:kern w:val="16"/>
        </w:rPr>
      </w:pPr>
      <w:r>
        <w:rPr>
          <w:kern w:val="16"/>
        </w:rPr>
        <w:t xml:space="preserve">Finally, taking into </w:t>
      </w:r>
      <w:r w:rsidR="00951450">
        <w:rPr>
          <w:kern w:val="16"/>
        </w:rPr>
        <w:t>account all elements and plann</w:t>
      </w:r>
      <w:r>
        <w:rPr>
          <w:kern w:val="16"/>
        </w:rPr>
        <w:t xml:space="preserve">ed consolidations, availability </w:t>
      </w:r>
      <w:r w:rsidR="00951450">
        <w:rPr>
          <w:kern w:val="16"/>
        </w:rPr>
        <w:t>close to 95% seems to be reachable for 2012.</w:t>
      </w:r>
    </w:p>
    <w:p w:rsidR="000A38ED" w:rsidRDefault="000A38ED" w:rsidP="000A38ED">
      <w:pPr>
        <w:pStyle w:val="Heading3"/>
        <w:rPr>
          <w:kern w:val="16"/>
        </w:rPr>
      </w:pPr>
      <w:r>
        <w:rPr>
          <w:kern w:val="16"/>
        </w:rPr>
        <w:t>Questions and answers</w:t>
      </w:r>
    </w:p>
    <w:p w:rsidR="000A38ED" w:rsidRDefault="009432AD" w:rsidP="000A38ED">
      <w:pPr>
        <w:pStyle w:val="BodyTextIndent"/>
        <w:rPr>
          <w:kern w:val="16"/>
        </w:rPr>
      </w:pPr>
      <w:r w:rsidRPr="009432AD">
        <w:rPr>
          <w:b/>
          <w:kern w:val="16"/>
        </w:rPr>
        <w:t>O. Bruning</w:t>
      </w:r>
      <w:r>
        <w:rPr>
          <w:kern w:val="16"/>
        </w:rPr>
        <w:t xml:space="preserve"> asked whether there is some doubt that cryogenics could manage the machine nominal performance. </w:t>
      </w:r>
      <w:r w:rsidRPr="009432AD">
        <w:rPr>
          <w:b/>
          <w:kern w:val="16"/>
        </w:rPr>
        <w:t>S.</w:t>
      </w:r>
      <w:r>
        <w:rPr>
          <w:kern w:val="16"/>
        </w:rPr>
        <w:t xml:space="preserve"> Insisted on the idea of a staged approach: limitations will be understood and faced as they appear.</w:t>
      </w:r>
    </w:p>
    <w:p w:rsidR="009432AD" w:rsidRDefault="009432AD" w:rsidP="000A38ED">
      <w:pPr>
        <w:pStyle w:val="BodyTextIndent"/>
        <w:rPr>
          <w:kern w:val="16"/>
        </w:rPr>
      </w:pPr>
      <w:r w:rsidRPr="006D1731">
        <w:rPr>
          <w:b/>
          <w:kern w:val="16"/>
        </w:rPr>
        <w:t>M. Lamont</w:t>
      </w:r>
      <w:r>
        <w:rPr>
          <w:kern w:val="16"/>
        </w:rPr>
        <w:t xml:space="preserve"> stressed on the exposure of cryogenics to the lack of components. </w:t>
      </w:r>
      <w:r w:rsidRPr="006D1731">
        <w:rPr>
          <w:b/>
          <w:kern w:val="16"/>
        </w:rPr>
        <w:t>S.</w:t>
      </w:r>
      <w:r>
        <w:rPr>
          <w:kern w:val="16"/>
        </w:rPr>
        <w:t xml:space="preserve"> </w:t>
      </w:r>
      <w:r w:rsidR="006D1731">
        <w:rPr>
          <w:kern w:val="16"/>
        </w:rPr>
        <w:t xml:space="preserve">The problem is also that </w:t>
      </w:r>
      <w:r w:rsidR="006D1731">
        <w:rPr>
          <w:kern w:val="16"/>
        </w:rPr>
        <w:lastRenderedPageBreak/>
        <w:t>n</w:t>
      </w:r>
      <w:r>
        <w:rPr>
          <w:kern w:val="16"/>
        </w:rPr>
        <w:t xml:space="preserve">obody knows </w:t>
      </w:r>
      <w:r w:rsidR="006D1731">
        <w:rPr>
          <w:kern w:val="16"/>
        </w:rPr>
        <w:t xml:space="preserve">how </w:t>
      </w:r>
      <w:proofErr w:type="gramStart"/>
      <w:r w:rsidR="006D1731">
        <w:rPr>
          <w:kern w:val="16"/>
        </w:rPr>
        <w:t xml:space="preserve">to  </w:t>
      </w:r>
      <w:r w:rsidR="0079341F">
        <w:rPr>
          <w:kern w:val="16"/>
        </w:rPr>
        <w:t>manage</w:t>
      </w:r>
      <w:proofErr w:type="gramEnd"/>
      <w:r w:rsidR="0079341F">
        <w:rPr>
          <w:kern w:val="16"/>
        </w:rPr>
        <w:t xml:space="preserve"> the </w:t>
      </w:r>
      <w:r w:rsidR="006D1731">
        <w:rPr>
          <w:kern w:val="16"/>
        </w:rPr>
        <w:t>spares; the test benches should help.</w:t>
      </w:r>
    </w:p>
    <w:p w:rsidR="005959F8" w:rsidRDefault="007E7C17" w:rsidP="005959F8">
      <w:pPr>
        <w:pStyle w:val="Heading2"/>
        <w:spacing w:before="180"/>
      </w:pPr>
      <w:r w:rsidRPr="007E7C17">
        <w:t>Technical stops: what were the issues in 2011, minimizing impact and improving recovery</w:t>
      </w:r>
      <w:r w:rsidR="005959F8">
        <w:t xml:space="preserve">, </w:t>
      </w:r>
      <w:r>
        <w:t>M</w:t>
      </w:r>
      <w:r w:rsidR="005959F8">
        <w:t xml:space="preserve">. </w:t>
      </w:r>
      <w:r>
        <w:t>Solfaroli</w:t>
      </w:r>
    </w:p>
    <w:p w:rsidR="007E7C17" w:rsidRDefault="005A0B6D" w:rsidP="005959F8">
      <w:pPr>
        <w:pStyle w:val="BodyTextIndent"/>
        <w:rPr>
          <w:kern w:val="16"/>
        </w:rPr>
      </w:pPr>
      <w:r>
        <w:rPr>
          <w:kern w:val="16"/>
        </w:rPr>
        <w:t>In 2011, 5 technical stops</w:t>
      </w:r>
      <w:r w:rsidR="00A074D5">
        <w:rPr>
          <w:kern w:val="16"/>
        </w:rPr>
        <w:t xml:space="preserve"> (TSs)</w:t>
      </w:r>
      <w:r>
        <w:rPr>
          <w:kern w:val="16"/>
        </w:rPr>
        <w:t xml:space="preserve"> were </w:t>
      </w:r>
      <w:r w:rsidR="00A074D5">
        <w:rPr>
          <w:kern w:val="16"/>
        </w:rPr>
        <w:t>organized in the accelerator complex, with a length</w:t>
      </w:r>
      <w:r w:rsidR="006D1731">
        <w:rPr>
          <w:kern w:val="16"/>
        </w:rPr>
        <w:t>,</w:t>
      </w:r>
      <w:r w:rsidR="00A074D5">
        <w:rPr>
          <w:kern w:val="16"/>
        </w:rPr>
        <w:t xml:space="preserve"> for the LHC</w:t>
      </w:r>
      <w:r w:rsidR="006D1731">
        <w:rPr>
          <w:kern w:val="16"/>
        </w:rPr>
        <w:t>,</w:t>
      </w:r>
      <w:r w:rsidR="00A074D5">
        <w:rPr>
          <w:kern w:val="16"/>
        </w:rPr>
        <w:t xml:space="preserve"> of 4 (the first two TSs) and 5</w:t>
      </w:r>
      <w:r w:rsidR="006D1731">
        <w:rPr>
          <w:kern w:val="16"/>
        </w:rPr>
        <w:t xml:space="preserve"> (the </w:t>
      </w:r>
      <w:r w:rsidR="007F3872">
        <w:rPr>
          <w:kern w:val="16"/>
        </w:rPr>
        <w:t xml:space="preserve">last </w:t>
      </w:r>
      <w:r w:rsidR="006D1731">
        <w:rPr>
          <w:kern w:val="16"/>
        </w:rPr>
        <w:t>3 TSs) days</w:t>
      </w:r>
      <w:r w:rsidR="007F3872">
        <w:rPr>
          <w:kern w:val="16"/>
        </w:rPr>
        <w:t>, followed by one day scheduled for recovery</w:t>
      </w:r>
      <w:r w:rsidR="006D1731">
        <w:rPr>
          <w:kern w:val="16"/>
        </w:rPr>
        <w:t>.</w:t>
      </w:r>
      <w:r w:rsidR="00A074D5">
        <w:rPr>
          <w:kern w:val="16"/>
        </w:rPr>
        <w:t xml:space="preserve"> 23% of the </w:t>
      </w:r>
      <w:r w:rsidR="007F3872">
        <w:rPr>
          <w:kern w:val="16"/>
        </w:rPr>
        <w:t xml:space="preserve">LHC machine </w:t>
      </w:r>
      <w:r w:rsidR="00A074D5">
        <w:rPr>
          <w:kern w:val="16"/>
        </w:rPr>
        <w:t xml:space="preserve">time </w:t>
      </w:r>
      <w:r w:rsidR="006D1731">
        <w:rPr>
          <w:kern w:val="16"/>
        </w:rPr>
        <w:t xml:space="preserve">was </w:t>
      </w:r>
      <w:r w:rsidR="00A074D5">
        <w:rPr>
          <w:kern w:val="16"/>
        </w:rPr>
        <w:t>actually spent in tunnel interventions</w:t>
      </w:r>
      <w:r w:rsidR="007F3872">
        <w:rPr>
          <w:kern w:val="16"/>
        </w:rPr>
        <w:t xml:space="preserve"> and recovery if the Christmas break is also included</w:t>
      </w:r>
      <w:r w:rsidR="00A074D5">
        <w:rPr>
          <w:kern w:val="16"/>
        </w:rPr>
        <w:t xml:space="preserve">. </w:t>
      </w:r>
    </w:p>
    <w:p w:rsidR="00A040A1" w:rsidRDefault="00AD2E19" w:rsidP="00A040A1">
      <w:pPr>
        <w:pStyle w:val="BodyTextIndent"/>
        <w:rPr>
          <w:kern w:val="16"/>
        </w:rPr>
      </w:pPr>
      <w:r>
        <w:rPr>
          <w:kern w:val="16"/>
        </w:rPr>
        <w:t xml:space="preserve">The goal of the </w:t>
      </w:r>
      <w:r w:rsidR="009A133B">
        <w:rPr>
          <w:kern w:val="16"/>
        </w:rPr>
        <w:t>presenter</w:t>
      </w:r>
      <w:r>
        <w:rPr>
          <w:kern w:val="16"/>
        </w:rPr>
        <w:t xml:space="preserve"> was to </w:t>
      </w:r>
      <w:r w:rsidR="007F3872">
        <w:rPr>
          <w:kern w:val="16"/>
        </w:rPr>
        <w:t>identify</w:t>
      </w:r>
      <w:r>
        <w:rPr>
          <w:kern w:val="16"/>
        </w:rPr>
        <w:t xml:space="preserve"> possible correlations between interventions and </w:t>
      </w:r>
      <w:r w:rsidR="007F3872">
        <w:rPr>
          <w:kern w:val="16"/>
        </w:rPr>
        <w:t xml:space="preserve">problems encountered during </w:t>
      </w:r>
      <w:r>
        <w:rPr>
          <w:kern w:val="16"/>
        </w:rPr>
        <w:t xml:space="preserve">recovery </w:t>
      </w:r>
      <w:r w:rsidR="007F3872">
        <w:rPr>
          <w:kern w:val="16"/>
        </w:rPr>
        <w:t>from the</w:t>
      </w:r>
      <w:r>
        <w:rPr>
          <w:kern w:val="16"/>
        </w:rPr>
        <w:t xml:space="preserve"> TS. </w:t>
      </w:r>
      <w:r w:rsidR="007F3872">
        <w:rPr>
          <w:kern w:val="16"/>
        </w:rPr>
        <w:t>T</w:t>
      </w:r>
      <w:r>
        <w:rPr>
          <w:kern w:val="16"/>
        </w:rPr>
        <w:t xml:space="preserve">he </w:t>
      </w:r>
      <w:r w:rsidR="009A133B">
        <w:rPr>
          <w:kern w:val="16"/>
        </w:rPr>
        <w:t>presenter</w:t>
      </w:r>
      <w:r>
        <w:rPr>
          <w:kern w:val="16"/>
        </w:rPr>
        <w:t xml:space="preserve"> distinguished between the time of the TS (calculated as the time from its formal beginning till the first hardware re-commissioning test), the time for recovery (till the first beam commissioning test) and the </w:t>
      </w:r>
      <w:r w:rsidR="00321E1A">
        <w:rPr>
          <w:kern w:val="16"/>
        </w:rPr>
        <w:t xml:space="preserve">time for beam commissioning (when the goal of the week is attained), and he </w:t>
      </w:r>
      <w:r w:rsidR="00895135">
        <w:rPr>
          <w:kern w:val="16"/>
        </w:rPr>
        <w:t>calculated these values for all TSs.</w:t>
      </w:r>
      <w:r w:rsidR="00EC53EC">
        <w:rPr>
          <w:kern w:val="16"/>
        </w:rPr>
        <w:t xml:space="preserve"> </w:t>
      </w:r>
      <w:r w:rsidR="00A040A1">
        <w:rPr>
          <w:kern w:val="16"/>
        </w:rPr>
        <w:t xml:space="preserve">The results of this analysis are </w:t>
      </w:r>
      <w:r w:rsidR="00D91337">
        <w:rPr>
          <w:kern w:val="16"/>
        </w:rPr>
        <w:t>list</w:t>
      </w:r>
      <w:r w:rsidR="00A040A1">
        <w:rPr>
          <w:kern w:val="16"/>
        </w:rPr>
        <w:t>ed in Table 1.</w:t>
      </w:r>
      <w:r w:rsidR="00C817C6">
        <w:rPr>
          <w:kern w:val="16"/>
        </w:rPr>
        <w:t xml:space="preserve"> In the table, the recovery coefficient represents the ratio betwee</w:t>
      </w:r>
      <w:r w:rsidR="009A519A">
        <w:rPr>
          <w:kern w:val="16"/>
        </w:rPr>
        <w:t>n the recovery time and the total TS time</w:t>
      </w:r>
      <w:r w:rsidR="005F59FE">
        <w:rPr>
          <w:kern w:val="16"/>
        </w:rPr>
        <w:t xml:space="preserve"> (compared to the theoretical one, i.e. 1 day over the total TS time)</w:t>
      </w:r>
      <w:r w:rsidR="009A519A">
        <w:rPr>
          <w:kern w:val="16"/>
        </w:rPr>
        <w:t>.</w:t>
      </w:r>
    </w:p>
    <w:p w:rsidR="00F80254" w:rsidRDefault="00BC1964" w:rsidP="00F80254">
      <w:pPr>
        <w:pStyle w:val="BodyTextIndent"/>
        <w:rPr>
          <w:kern w:val="16"/>
        </w:rPr>
      </w:pPr>
      <w:r>
        <w:rPr>
          <w:kern w:val="16"/>
        </w:rPr>
        <w:t>T</w:t>
      </w:r>
      <w:r w:rsidR="00F80254">
        <w:rPr>
          <w:kern w:val="16"/>
        </w:rPr>
        <w:t>hese data</w:t>
      </w:r>
      <w:r>
        <w:rPr>
          <w:kern w:val="16"/>
        </w:rPr>
        <w:t xml:space="preserve"> show</w:t>
      </w:r>
      <w:r w:rsidR="00F80254">
        <w:rPr>
          <w:kern w:val="16"/>
        </w:rPr>
        <w:t xml:space="preserve"> an increasing efficiency in resuming from a TS, with the recovery time becoming shorter (apart for the third TS), which translates in a recovery coefficient that goes from the double to half of the theoretical recovery coefficient.</w:t>
      </w:r>
    </w:p>
    <w:p w:rsidR="00D91337" w:rsidRDefault="00D91337" w:rsidP="00A040A1">
      <w:pPr>
        <w:pStyle w:val="BodyTextIndent"/>
        <w:rPr>
          <w:kern w:val="16"/>
        </w:rPr>
      </w:pPr>
    </w:p>
    <w:tbl>
      <w:tblPr>
        <w:tblStyle w:val="TableGrid"/>
        <w:tblW w:w="0" w:type="auto"/>
        <w:tblLook w:val="04A0"/>
      </w:tblPr>
      <w:tblGrid>
        <w:gridCol w:w="648"/>
        <w:gridCol w:w="1440"/>
        <w:gridCol w:w="1580"/>
        <w:gridCol w:w="1223"/>
      </w:tblGrid>
      <w:tr w:rsidR="00A040A1" w:rsidTr="00D91337">
        <w:tc>
          <w:tcPr>
            <w:tcW w:w="648" w:type="dxa"/>
            <w:tcBorders>
              <w:top w:val="double" w:sz="4" w:space="0" w:color="auto"/>
              <w:left w:val="nil"/>
              <w:bottom w:val="double" w:sz="4" w:space="0" w:color="auto"/>
              <w:right w:val="nil"/>
            </w:tcBorders>
          </w:tcPr>
          <w:p w:rsidR="00A040A1" w:rsidRDefault="00A040A1" w:rsidP="00A040A1">
            <w:pPr>
              <w:pStyle w:val="BodyTextIndent"/>
              <w:ind w:firstLine="0"/>
              <w:rPr>
                <w:kern w:val="16"/>
              </w:rPr>
            </w:pPr>
          </w:p>
        </w:tc>
        <w:tc>
          <w:tcPr>
            <w:tcW w:w="1440" w:type="dxa"/>
            <w:tcBorders>
              <w:top w:val="double" w:sz="4" w:space="0" w:color="auto"/>
              <w:left w:val="nil"/>
              <w:bottom w:val="double" w:sz="4" w:space="0" w:color="auto"/>
              <w:right w:val="nil"/>
            </w:tcBorders>
          </w:tcPr>
          <w:p w:rsidR="00A040A1" w:rsidRDefault="00D91337" w:rsidP="00D91337">
            <w:pPr>
              <w:pStyle w:val="BodyTextIndent"/>
              <w:ind w:firstLine="0"/>
              <w:jc w:val="center"/>
              <w:rPr>
                <w:kern w:val="16"/>
              </w:rPr>
            </w:pPr>
            <w:r>
              <w:rPr>
                <w:kern w:val="16"/>
              </w:rPr>
              <w:t>Recovery+ beam comm..</w:t>
            </w:r>
          </w:p>
        </w:tc>
        <w:tc>
          <w:tcPr>
            <w:tcW w:w="1580" w:type="dxa"/>
            <w:tcBorders>
              <w:top w:val="double" w:sz="4" w:space="0" w:color="auto"/>
              <w:left w:val="nil"/>
              <w:bottom w:val="double" w:sz="4" w:space="0" w:color="auto"/>
              <w:right w:val="nil"/>
            </w:tcBorders>
          </w:tcPr>
          <w:p w:rsidR="00A040A1" w:rsidRDefault="00D91337" w:rsidP="00D91337">
            <w:pPr>
              <w:pStyle w:val="BodyTextIndent"/>
              <w:ind w:firstLine="0"/>
              <w:jc w:val="center"/>
              <w:rPr>
                <w:kern w:val="16"/>
              </w:rPr>
            </w:pPr>
            <w:r>
              <w:rPr>
                <w:kern w:val="16"/>
              </w:rPr>
              <w:t>Tot TS</w:t>
            </w:r>
          </w:p>
          <w:p w:rsidR="00D91337" w:rsidRDefault="00BC1964" w:rsidP="00D91337">
            <w:pPr>
              <w:pStyle w:val="BodyTextIndent"/>
              <w:ind w:firstLine="0"/>
              <w:jc w:val="center"/>
              <w:rPr>
                <w:kern w:val="16"/>
              </w:rPr>
            </w:pPr>
            <w:r>
              <w:rPr>
                <w:kern w:val="16"/>
              </w:rPr>
              <w:t>T</w:t>
            </w:r>
            <w:r w:rsidR="00D91337">
              <w:rPr>
                <w:kern w:val="16"/>
              </w:rPr>
              <w:t>ime</w:t>
            </w:r>
          </w:p>
        </w:tc>
        <w:tc>
          <w:tcPr>
            <w:tcW w:w="1223" w:type="dxa"/>
            <w:tcBorders>
              <w:top w:val="double" w:sz="4" w:space="0" w:color="auto"/>
              <w:left w:val="nil"/>
              <w:bottom w:val="double" w:sz="4" w:space="0" w:color="auto"/>
              <w:right w:val="nil"/>
            </w:tcBorders>
          </w:tcPr>
          <w:p w:rsidR="00A040A1" w:rsidRDefault="00D91337" w:rsidP="00D91337">
            <w:pPr>
              <w:pStyle w:val="BodyTextIndent"/>
              <w:ind w:firstLine="0"/>
              <w:jc w:val="center"/>
              <w:rPr>
                <w:kern w:val="16"/>
              </w:rPr>
            </w:pPr>
            <w:r>
              <w:rPr>
                <w:kern w:val="16"/>
              </w:rPr>
              <w:t>Recovery coefficient</w:t>
            </w:r>
          </w:p>
        </w:tc>
      </w:tr>
      <w:tr w:rsidR="00A040A1" w:rsidTr="00D91337">
        <w:tc>
          <w:tcPr>
            <w:tcW w:w="648" w:type="dxa"/>
            <w:tcBorders>
              <w:top w:val="double" w:sz="4" w:space="0" w:color="auto"/>
              <w:left w:val="nil"/>
              <w:bottom w:val="nil"/>
              <w:right w:val="nil"/>
            </w:tcBorders>
          </w:tcPr>
          <w:p w:rsidR="00A040A1" w:rsidRDefault="00A040A1" w:rsidP="00A040A1">
            <w:pPr>
              <w:pStyle w:val="BodyTextIndent"/>
              <w:ind w:firstLine="0"/>
              <w:rPr>
                <w:kern w:val="16"/>
              </w:rPr>
            </w:pPr>
            <w:r>
              <w:rPr>
                <w:kern w:val="16"/>
              </w:rPr>
              <w:t>TS1</w:t>
            </w:r>
          </w:p>
        </w:tc>
        <w:tc>
          <w:tcPr>
            <w:tcW w:w="1440" w:type="dxa"/>
            <w:tcBorders>
              <w:top w:val="double" w:sz="4" w:space="0" w:color="auto"/>
              <w:left w:val="nil"/>
              <w:bottom w:val="nil"/>
              <w:right w:val="nil"/>
            </w:tcBorders>
          </w:tcPr>
          <w:p w:rsidR="00A040A1" w:rsidRDefault="00D91337" w:rsidP="00D91337">
            <w:pPr>
              <w:pStyle w:val="BodyTextIndent"/>
              <w:ind w:firstLine="0"/>
              <w:jc w:val="center"/>
              <w:rPr>
                <w:kern w:val="16"/>
              </w:rPr>
            </w:pPr>
            <w:r>
              <w:rPr>
                <w:kern w:val="16"/>
              </w:rPr>
              <w:t>43h</w:t>
            </w:r>
          </w:p>
        </w:tc>
        <w:tc>
          <w:tcPr>
            <w:tcW w:w="1580" w:type="dxa"/>
            <w:tcBorders>
              <w:top w:val="double" w:sz="4" w:space="0" w:color="auto"/>
              <w:left w:val="nil"/>
              <w:bottom w:val="nil"/>
              <w:right w:val="nil"/>
            </w:tcBorders>
          </w:tcPr>
          <w:p w:rsidR="00A040A1" w:rsidRDefault="00D91337" w:rsidP="00D91337">
            <w:pPr>
              <w:pStyle w:val="BodyTextIndent"/>
              <w:ind w:firstLine="0"/>
              <w:jc w:val="center"/>
              <w:rPr>
                <w:kern w:val="16"/>
              </w:rPr>
            </w:pPr>
            <w:r>
              <w:rPr>
                <w:kern w:val="16"/>
              </w:rPr>
              <w:t>108h</w:t>
            </w:r>
          </w:p>
        </w:tc>
        <w:tc>
          <w:tcPr>
            <w:tcW w:w="1223" w:type="dxa"/>
            <w:tcBorders>
              <w:top w:val="double" w:sz="4" w:space="0" w:color="auto"/>
              <w:left w:val="nil"/>
              <w:bottom w:val="nil"/>
              <w:right w:val="nil"/>
            </w:tcBorders>
          </w:tcPr>
          <w:p w:rsidR="00A040A1" w:rsidRDefault="00D91337" w:rsidP="00D91337">
            <w:pPr>
              <w:pStyle w:val="BodyTextIndent"/>
              <w:ind w:firstLine="0"/>
              <w:jc w:val="center"/>
              <w:rPr>
                <w:kern w:val="16"/>
              </w:rPr>
            </w:pPr>
            <w:r>
              <w:rPr>
                <w:kern w:val="16"/>
              </w:rPr>
              <w:t>0.4</w:t>
            </w:r>
            <w:r w:rsidR="005F59FE">
              <w:rPr>
                <w:kern w:val="16"/>
              </w:rPr>
              <w:t xml:space="preserve">  (0.22)</w:t>
            </w:r>
          </w:p>
        </w:tc>
      </w:tr>
      <w:tr w:rsidR="00A040A1" w:rsidTr="00D91337">
        <w:tc>
          <w:tcPr>
            <w:tcW w:w="648" w:type="dxa"/>
            <w:tcBorders>
              <w:top w:val="nil"/>
              <w:left w:val="nil"/>
              <w:bottom w:val="nil"/>
              <w:right w:val="nil"/>
            </w:tcBorders>
          </w:tcPr>
          <w:p w:rsidR="00A040A1" w:rsidRDefault="00A040A1" w:rsidP="00A040A1">
            <w:pPr>
              <w:pStyle w:val="BodyTextIndent"/>
              <w:ind w:firstLine="0"/>
              <w:rPr>
                <w:kern w:val="16"/>
              </w:rPr>
            </w:pPr>
            <w:r>
              <w:rPr>
                <w:kern w:val="16"/>
              </w:rPr>
              <w:t>TS2</w:t>
            </w:r>
          </w:p>
        </w:tc>
        <w:tc>
          <w:tcPr>
            <w:tcW w:w="1440" w:type="dxa"/>
            <w:tcBorders>
              <w:top w:val="nil"/>
              <w:left w:val="nil"/>
              <w:bottom w:val="nil"/>
              <w:right w:val="nil"/>
            </w:tcBorders>
          </w:tcPr>
          <w:p w:rsidR="00A040A1" w:rsidRDefault="00D91337" w:rsidP="00D91337">
            <w:pPr>
              <w:pStyle w:val="BodyTextIndent"/>
              <w:ind w:firstLine="0"/>
              <w:jc w:val="center"/>
              <w:rPr>
                <w:kern w:val="16"/>
              </w:rPr>
            </w:pPr>
            <w:r>
              <w:rPr>
                <w:kern w:val="16"/>
              </w:rPr>
              <w:t>40h</w:t>
            </w:r>
          </w:p>
        </w:tc>
        <w:tc>
          <w:tcPr>
            <w:tcW w:w="1580" w:type="dxa"/>
            <w:tcBorders>
              <w:top w:val="nil"/>
              <w:left w:val="nil"/>
              <w:bottom w:val="nil"/>
              <w:right w:val="nil"/>
            </w:tcBorders>
          </w:tcPr>
          <w:p w:rsidR="00A040A1" w:rsidRDefault="00D91337" w:rsidP="00D91337">
            <w:pPr>
              <w:pStyle w:val="BodyTextIndent"/>
              <w:ind w:firstLine="0"/>
              <w:jc w:val="center"/>
              <w:rPr>
                <w:kern w:val="16"/>
              </w:rPr>
            </w:pPr>
            <w:r>
              <w:rPr>
                <w:kern w:val="16"/>
              </w:rPr>
              <w:t>108h</w:t>
            </w:r>
          </w:p>
        </w:tc>
        <w:tc>
          <w:tcPr>
            <w:tcW w:w="1223" w:type="dxa"/>
            <w:tcBorders>
              <w:top w:val="nil"/>
              <w:left w:val="nil"/>
              <w:bottom w:val="nil"/>
              <w:right w:val="nil"/>
            </w:tcBorders>
          </w:tcPr>
          <w:p w:rsidR="00A040A1" w:rsidRDefault="00D91337" w:rsidP="00D91337">
            <w:pPr>
              <w:pStyle w:val="BodyTextIndent"/>
              <w:ind w:firstLine="0"/>
              <w:jc w:val="center"/>
              <w:rPr>
                <w:kern w:val="16"/>
              </w:rPr>
            </w:pPr>
            <w:r>
              <w:rPr>
                <w:kern w:val="16"/>
              </w:rPr>
              <w:t>0.37</w:t>
            </w:r>
            <w:r w:rsidR="005F59FE">
              <w:rPr>
                <w:kern w:val="16"/>
              </w:rPr>
              <w:t xml:space="preserve">  (0.22)</w:t>
            </w:r>
          </w:p>
        </w:tc>
      </w:tr>
      <w:tr w:rsidR="00A040A1" w:rsidTr="00D91337">
        <w:tc>
          <w:tcPr>
            <w:tcW w:w="648" w:type="dxa"/>
            <w:tcBorders>
              <w:top w:val="nil"/>
              <w:left w:val="nil"/>
              <w:bottom w:val="nil"/>
              <w:right w:val="nil"/>
            </w:tcBorders>
          </w:tcPr>
          <w:p w:rsidR="00A040A1" w:rsidRDefault="00A040A1" w:rsidP="00A040A1">
            <w:pPr>
              <w:pStyle w:val="BodyTextIndent"/>
              <w:ind w:firstLine="0"/>
              <w:rPr>
                <w:kern w:val="16"/>
              </w:rPr>
            </w:pPr>
            <w:r>
              <w:rPr>
                <w:kern w:val="16"/>
              </w:rPr>
              <w:t>TS3</w:t>
            </w:r>
          </w:p>
        </w:tc>
        <w:tc>
          <w:tcPr>
            <w:tcW w:w="1440" w:type="dxa"/>
            <w:tcBorders>
              <w:top w:val="nil"/>
              <w:left w:val="nil"/>
              <w:bottom w:val="nil"/>
              <w:right w:val="nil"/>
            </w:tcBorders>
          </w:tcPr>
          <w:p w:rsidR="00A040A1" w:rsidRDefault="00D91337" w:rsidP="00D91337">
            <w:pPr>
              <w:pStyle w:val="BodyTextIndent"/>
              <w:ind w:firstLine="0"/>
              <w:jc w:val="center"/>
              <w:rPr>
                <w:kern w:val="16"/>
              </w:rPr>
            </w:pPr>
            <w:r>
              <w:rPr>
                <w:kern w:val="16"/>
              </w:rPr>
              <w:t>44h</w:t>
            </w:r>
          </w:p>
        </w:tc>
        <w:tc>
          <w:tcPr>
            <w:tcW w:w="1580" w:type="dxa"/>
            <w:tcBorders>
              <w:top w:val="nil"/>
              <w:left w:val="nil"/>
              <w:bottom w:val="nil"/>
              <w:right w:val="nil"/>
            </w:tcBorders>
          </w:tcPr>
          <w:p w:rsidR="00A040A1" w:rsidRDefault="00D91337" w:rsidP="00D91337">
            <w:pPr>
              <w:pStyle w:val="BodyTextIndent"/>
              <w:ind w:firstLine="0"/>
              <w:jc w:val="center"/>
              <w:rPr>
                <w:kern w:val="16"/>
              </w:rPr>
            </w:pPr>
            <w:r>
              <w:rPr>
                <w:kern w:val="16"/>
              </w:rPr>
              <w:t>132h</w:t>
            </w:r>
          </w:p>
        </w:tc>
        <w:tc>
          <w:tcPr>
            <w:tcW w:w="1223" w:type="dxa"/>
            <w:tcBorders>
              <w:top w:val="nil"/>
              <w:left w:val="nil"/>
              <w:bottom w:val="nil"/>
              <w:right w:val="nil"/>
            </w:tcBorders>
          </w:tcPr>
          <w:p w:rsidR="00A040A1" w:rsidRDefault="00D91337" w:rsidP="00D91337">
            <w:pPr>
              <w:pStyle w:val="BodyTextIndent"/>
              <w:ind w:firstLine="0"/>
              <w:jc w:val="center"/>
              <w:rPr>
                <w:kern w:val="16"/>
              </w:rPr>
            </w:pPr>
            <w:r>
              <w:rPr>
                <w:kern w:val="16"/>
              </w:rPr>
              <w:t>0.33</w:t>
            </w:r>
            <w:r w:rsidR="005F59FE">
              <w:rPr>
                <w:kern w:val="16"/>
              </w:rPr>
              <w:t xml:space="preserve">  (0.18)</w:t>
            </w:r>
          </w:p>
        </w:tc>
      </w:tr>
      <w:tr w:rsidR="00A040A1" w:rsidTr="00D91337">
        <w:tc>
          <w:tcPr>
            <w:tcW w:w="648" w:type="dxa"/>
            <w:tcBorders>
              <w:top w:val="nil"/>
              <w:left w:val="nil"/>
              <w:bottom w:val="nil"/>
              <w:right w:val="nil"/>
            </w:tcBorders>
          </w:tcPr>
          <w:p w:rsidR="00A040A1" w:rsidRDefault="00A040A1" w:rsidP="00A040A1">
            <w:pPr>
              <w:pStyle w:val="BodyTextIndent"/>
              <w:ind w:firstLine="0"/>
              <w:rPr>
                <w:kern w:val="16"/>
              </w:rPr>
            </w:pPr>
            <w:r>
              <w:rPr>
                <w:kern w:val="16"/>
              </w:rPr>
              <w:t>TS4</w:t>
            </w:r>
          </w:p>
        </w:tc>
        <w:tc>
          <w:tcPr>
            <w:tcW w:w="1440" w:type="dxa"/>
            <w:tcBorders>
              <w:top w:val="nil"/>
              <w:left w:val="nil"/>
              <w:bottom w:val="nil"/>
              <w:right w:val="nil"/>
            </w:tcBorders>
          </w:tcPr>
          <w:p w:rsidR="00A040A1" w:rsidRDefault="00D91337" w:rsidP="00D91337">
            <w:pPr>
              <w:pStyle w:val="BodyTextIndent"/>
              <w:ind w:firstLine="0"/>
              <w:jc w:val="center"/>
              <w:rPr>
                <w:kern w:val="16"/>
              </w:rPr>
            </w:pPr>
            <w:r>
              <w:rPr>
                <w:kern w:val="16"/>
              </w:rPr>
              <w:t>18h</w:t>
            </w:r>
          </w:p>
        </w:tc>
        <w:tc>
          <w:tcPr>
            <w:tcW w:w="1580" w:type="dxa"/>
            <w:tcBorders>
              <w:top w:val="nil"/>
              <w:left w:val="nil"/>
              <w:bottom w:val="nil"/>
              <w:right w:val="nil"/>
            </w:tcBorders>
          </w:tcPr>
          <w:p w:rsidR="00A040A1" w:rsidRDefault="00D91337" w:rsidP="00D91337">
            <w:pPr>
              <w:pStyle w:val="BodyTextIndent"/>
              <w:ind w:firstLine="0"/>
              <w:jc w:val="center"/>
              <w:rPr>
                <w:kern w:val="16"/>
              </w:rPr>
            </w:pPr>
            <w:r>
              <w:rPr>
                <w:kern w:val="16"/>
              </w:rPr>
              <w:t>132h</w:t>
            </w:r>
          </w:p>
        </w:tc>
        <w:tc>
          <w:tcPr>
            <w:tcW w:w="1223" w:type="dxa"/>
            <w:tcBorders>
              <w:top w:val="nil"/>
              <w:left w:val="nil"/>
              <w:bottom w:val="nil"/>
              <w:right w:val="nil"/>
            </w:tcBorders>
          </w:tcPr>
          <w:p w:rsidR="00A040A1" w:rsidRDefault="00D91337" w:rsidP="00D91337">
            <w:pPr>
              <w:pStyle w:val="BodyTextIndent"/>
              <w:ind w:firstLine="0"/>
              <w:jc w:val="center"/>
              <w:rPr>
                <w:kern w:val="16"/>
              </w:rPr>
            </w:pPr>
            <w:r>
              <w:rPr>
                <w:kern w:val="16"/>
              </w:rPr>
              <w:t>0.13</w:t>
            </w:r>
            <w:r w:rsidR="005F59FE">
              <w:rPr>
                <w:kern w:val="16"/>
              </w:rPr>
              <w:t xml:space="preserve">  (0.18)</w:t>
            </w:r>
          </w:p>
        </w:tc>
      </w:tr>
      <w:tr w:rsidR="00A040A1" w:rsidTr="00D91337">
        <w:tc>
          <w:tcPr>
            <w:tcW w:w="648" w:type="dxa"/>
            <w:tcBorders>
              <w:top w:val="nil"/>
              <w:left w:val="nil"/>
              <w:bottom w:val="double" w:sz="4" w:space="0" w:color="auto"/>
              <w:right w:val="nil"/>
            </w:tcBorders>
          </w:tcPr>
          <w:p w:rsidR="00A040A1" w:rsidRDefault="00A040A1" w:rsidP="00A040A1">
            <w:pPr>
              <w:pStyle w:val="BodyTextIndent"/>
              <w:ind w:firstLine="0"/>
              <w:rPr>
                <w:kern w:val="16"/>
              </w:rPr>
            </w:pPr>
            <w:r>
              <w:rPr>
                <w:kern w:val="16"/>
              </w:rPr>
              <w:t>TS5</w:t>
            </w:r>
          </w:p>
        </w:tc>
        <w:tc>
          <w:tcPr>
            <w:tcW w:w="1440" w:type="dxa"/>
            <w:tcBorders>
              <w:top w:val="nil"/>
              <w:left w:val="nil"/>
              <w:bottom w:val="double" w:sz="4" w:space="0" w:color="auto"/>
              <w:right w:val="nil"/>
            </w:tcBorders>
          </w:tcPr>
          <w:p w:rsidR="00A040A1" w:rsidRDefault="00D91337" w:rsidP="00D91337">
            <w:pPr>
              <w:pStyle w:val="BodyTextIndent"/>
              <w:ind w:firstLine="0"/>
              <w:jc w:val="center"/>
              <w:rPr>
                <w:kern w:val="16"/>
              </w:rPr>
            </w:pPr>
            <w:r>
              <w:rPr>
                <w:kern w:val="16"/>
              </w:rPr>
              <w:t>13h</w:t>
            </w:r>
          </w:p>
        </w:tc>
        <w:tc>
          <w:tcPr>
            <w:tcW w:w="1580" w:type="dxa"/>
            <w:tcBorders>
              <w:top w:val="nil"/>
              <w:left w:val="nil"/>
              <w:bottom w:val="double" w:sz="4" w:space="0" w:color="auto"/>
              <w:right w:val="nil"/>
            </w:tcBorders>
          </w:tcPr>
          <w:p w:rsidR="00A040A1" w:rsidRDefault="00D91337" w:rsidP="00D91337">
            <w:pPr>
              <w:pStyle w:val="BodyTextIndent"/>
              <w:ind w:firstLine="0"/>
              <w:jc w:val="center"/>
              <w:rPr>
                <w:kern w:val="16"/>
              </w:rPr>
            </w:pPr>
            <w:r>
              <w:rPr>
                <w:kern w:val="16"/>
              </w:rPr>
              <w:t>132h</w:t>
            </w:r>
          </w:p>
        </w:tc>
        <w:tc>
          <w:tcPr>
            <w:tcW w:w="1223" w:type="dxa"/>
            <w:tcBorders>
              <w:top w:val="nil"/>
              <w:left w:val="nil"/>
              <w:bottom w:val="double" w:sz="4" w:space="0" w:color="auto"/>
              <w:right w:val="nil"/>
            </w:tcBorders>
          </w:tcPr>
          <w:p w:rsidR="00A040A1" w:rsidRDefault="00D91337" w:rsidP="00D91337">
            <w:pPr>
              <w:pStyle w:val="BodyTextIndent"/>
              <w:ind w:firstLine="0"/>
              <w:jc w:val="center"/>
              <w:rPr>
                <w:kern w:val="16"/>
              </w:rPr>
            </w:pPr>
            <w:r>
              <w:rPr>
                <w:kern w:val="16"/>
              </w:rPr>
              <w:t>0.09</w:t>
            </w:r>
            <w:r w:rsidR="005F59FE">
              <w:rPr>
                <w:kern w:val="16"/>
              </w:rPr>
              <w:t xml:space="preserve">  (0.18)</w:t>
            </w:r>
          </w:p>
        </w:tc>
      </w:tr>
    </w:tbl>
    <w:p w:rsidR="00A040A1" w:rsidRDefault="00BA3B18" w:rsidP="00A040A1">
      <w:pPr>
        <w:pStyle w:val="BodyTextIndent"/>
        <w:rPr>
          <w:kern w:val="16"/>
        </w:rPr>
      </w:pPr>
      <w:r>
        <w:rPr>
          <w:kern w:val="16"/>
        </w:rPr>
        <w:t>Table 1. Recovery time and coefficient for all TSs.</w:t>
      </w:r>
    </w:p>
    <w:p w:rsidR="00BA3B18" w:rsidRDefault="00BA3B18" w:rsidP="00A040A1">
      <w:pPr>
        <w:pStyle w:val="BodyTextIndent"/>
        <w:rPr>
          <w:kern w:val="16"/>
        </w:rPr>
      </w:pPr>
    </w:p>
    <w:p w:rsidR="00AD2E19" w:rsidRDefault="00184AC7" w:rsidP="005959F8">
      <w:pPr>
        <w:pStyle w:val="BodyTextIndent"/>
        <w:rPr>
          <w:kern w:val="16"/>
        </w:rPr>
      </w:pPr>
      <w:r>
        <w:rPr>
          <w:kern w:val="16"/>
        </w:rPr>
        <w:t>Another important element</w:t>
      </w:r>
      <w:r w:rsidR="00D60DD1">
        <w:rPr>
          <w:kern w:val="16"/>
        </w:rPr>
        <w:t xml:space="preserve"> to evaluate the impact of the TS on the recovery</w:t>
      </w:r>
      <w:r>
        <w:rPr>
          <w:kern w:val="16"/>
        </w:rPr>
        <w:t xml:space="preserve"> is the number of hours lost after the TS, either </w:t>
      </w:r>
      <w:r w:rsidR="00D60DD1">
        <w:rPr>
          <w:kern w:val="16"/>
        </w:rPr>
        <w:t xml:space="preserve">due to </w:t>
      </w:r>
      <w:r>
        <w:rPr>
          <w:kern w:val="16"/>
        </w:rPr>
        <w:t>hardware or so</w:t>
      </w:r>
      <w:r w:rsidR="00D60DD1">
        <w:rPr>
          <w:kern w:val="16"/>
        </w:rPr>
        <w:t>ftware problems, and their relation with the interventions performed during the TS. Table 2 shows the</w:t>
      </w:r>
      <w:r w:rsidR="00BC1964">
        <w:rPr>
          <w:kern w:val="16"/>
        </w:rPr>
        <w:t>se</w:t>
      </w:r>
      <w:r w:rsidR="00D60DD1">
        <w:rPr>
          <w:kern w:val="16"/>
        </w:rPr>
        <w:t xml:space="preserve"> values for all TSs</w:t>
      </w:r>
      <w:r w:rsidR="00567A5B">
        <w:rPr>
          <w:kern w:val="16"/>
        </w:rPr>
        <w:t>, from which it emerges that, on average, half of the issues after each TS were due to interventions carried out during the TS, with some 60% due to HW problems.</w:t>
      </w:r>
    </w:p>
    <w:p w:rsidR="00C61B9B" w:rsidRDefault="00C61B9B" w:rsidP="00C61B9B">
      <w:pPr>
        <w:pStyle w:val="BodyTextIndent"/>
        <w:rPr>
          <w:kern w:val="16"/>
        </w:rPr>
      </w:pPr>
      <w:r>
        <w:rPr>
          <w:kern w:val="16"/>
        </w:rPr>
        <w:t>The recovery from the TS could be improved if the information on the interventions during the TS, hardware and software, would be more actively used by the operation team.</w:t>
      </w:r>
    </w:p>
    <w:p w:rsidR="00990E5D" w:rsidRDefault="00990E5D" w:rsidP="00990E5D">
      <w:pPr>
        <w:pStyle w:val="BodyTextIndent"/>
        <w:rPr>
          <w:kern w:val="16"/>
        </w:rPr>
      </w:pPr>
      <w:r>
        <w:rPr>
          <w:kern w:val="16"/>
        </w:rPr>
        <w:t>In terms of requests for 2012, the different users would accept:</w:t>
      </w:r>
    </w:p>
    <w:p w:rsidR="00990E5D" w:rsidRDefault="00990E5D" w:rsidP="00990E5D">
      <w:pPr>
        <w:pStyle w:val="BodyTextIndent"/>
        <w:numPr>
          <w:ilvl w:val="0"/>
          <w:numId w:val="23"/>
        </w:numPr>
        <w:rPr>
          <w:kern w:val="16"/>
        </w:rPr>
      </w:pPr>
      <w:r>
        <w:rPr>
          <w:kern w:val="16"/>
        </w:rPr>
        <w:t>Cryogenics, 3 TSs, but with min 5 days each</w:t>
      </w:r>
    </w:p>
    <w:p w:rsidR="00990E5D" w:rsidRDefault="00990E5D" w:rsidP="00990E5D">
      <w:pPr>
        <w:pStyle w:val="BodyTextIndent"/>
        <w:numPr>
          <w:ilvl w:val="0"/>
          <w:numId w:val="23"/>
        </w:numPr>
        <w:rPr>
          <w:kern w:val="16"/>
        </w:rPr>
      </w:pPr>
      <w:r>
        <w:rPr>
          <w:kern w:val="16"/>
        </w:rPr>
        <w:t>QPS, min 3 TSs with 4 ½ days</w:t>
      </w:r>
    </w:p>
    <w:p w:rsidR="00990E5D" w:rsidRDefault="00990E5D" w:rsidP="00990E5D">
      <w:pPr>
        <w:pStyle w:val="BodyTextIndent"/>
        <w:numPr>
          <w:ilvl w:val="0"/>
          <w:numId w:val="23"/>
        </w:numPr>
        <w:rPr>
          <w:kern w:val="16"/>
        </w:rPr>
      </w:pPr>
      <w:r>
        <w:rPr>
          <w:kern w:val="16"/>
        </w:rPr>
        <w:t>EPC, 1-2 days every 9-10 w</w:t>
      </w:r>
    </w:p>
    <w:p w:rsidR="00990E5D" w:rsidRDefault="00990E5D" w:rsidP="00990E5D">
      <w:pPr>
        <w:pStyle w:val="BodyTextIndent"/>
        <w:numPr>
          <w:ilvl w:val="0"/>
          <w:numId w:val="23"/>
        </w:numPr>
        <w:rPr>
          <w:kern w:val="16"/>
        </w:rPr>
      </w:pPr>
      <w:r>
        <w:rPr>
          <w:kern w:val="16"/>
        </w:rPr>
        <w:t>EL, no particular constraint</w:t>
      </w:r>
    </w:p>
    <w:p w:rsidR="00990E5D" w:rsidRDefault="00990E5D" w:rsidP="00990E5D">
      <w:pPr>
        <w:pStyle w:val="BodyTextIndent"/>
        <w:numPr>
          <w:ilvl w:val="0"/>
          <w:numId w:val="23"/>
        </w:numPr>
        <w:rPr>
          <w:kern w:val="16"/>
        </w:rPr>
      </w:pPr>
      <w:r>
        <w:rPr>
          <w:kern w:val="16"/>
        </w:rPr>
        <w:t>CV, difficult to keep for more than 8-9 w</w:t>
      </w:r>
      <w:r w:rsidRPr="00F80254">
        <w:rPr>
          <w:kern w:val="16"/>
        </w:rPr>
        <w:t xml:space="preserve"> </w:t>
      </w:r>
    </w:p>
    <w:tbl>
      <w:tblPr>
        <w:tblStyle w:val="TableGrid"/>
        <w:tblW w:w="0" w:type="auto"/>
        <w:tblLook w:val="04A0"/>
      </w:tblPr>
      <w:tblGrid>
        <w:gridCol w:w="604"/>
        <w:gridCol w:w="944"/>
        <w:gridCol w:w="1710"/>
        <w:gridCol w:w="855"/>
        <w:gridCol w:w="778"/>
      </w:tblGrid>
      <w:tr w:rsidR="00D60DD1" w:rsidTr="00567A5B">
        <w:tc>
          <w:tcPr>
            <w:tcW w:w="604" w:type="dxa"/>
            <w:tcBorders>
              <w:top w:val="double" w:sz="4" w:space="0" w:color="auto"/>
              <w:left w:val="nil"/>
              <w:bottom w:val="double" w:sz="4" w:space="0" w:color="auto"/>
              <w:right w:val="nil"/>
            </w:tcBorders>
          </w:tcPr>
          <w:p w:rsidR="00D60DD1" w:rsidRDefault="00D60DD1" w:rsidP="008E7AD7">
            <w:pPr>
              <w:pStyle w:val="BodyTextIndent"/>
              <w:ind w:firstLine="0"/>
              <w:rPr>
                <w:kern w:val="16"/>
              </w:rPr>
            </w:pPr>
          </w:p>
        </w:tc>
        <w:tc>
          <w:tcPr>
            <w:tcW w:w="944" w:type="dxa"/>
            <w:tcBorders>
              <w:top w:val="double" w:sz="4" w:space="0" w:color="auto"/>
              <w:left w:val="nil"/>
              <w:bottom w:val="double" w:sz="4" w:space="0" w:color="auto"/>
              <w:right w:val="nil"/>
            </w:tcBorders>
          </w:tcPr>
          <w:p w:rsidR="00D60DD1" w:rsidRDefault="00D60DD1" w:rsidP="008E7AD7">
            <w:pPr>
              <w:pStyle w:val="BodyTextIndent"/>
              <w:ind w:firstLine="0"/>
              <w:jc w:val="center"/>
              <w:rPr>
                <w:kern w:val="16"/>
              </w:rPr>
            </w:pPr>
            <w:r>
              <w:rPr>
                <w:kern w:val="16"/>
              </w:rPr>
              <w:t>Time lost [h]</w:t>
            </w:r>
          </w:p>
        </w:tc>
        <w:tc>
          <w:tcPr>
            <w:tcW w:w="1710" w:type="dxa"/>
            <w:tcBorders>
              <w:top w:val="double" w:sz="4" w:space="0" w:color="auto"/>
              <w:left w:val="nil"/>
              <w:bottom w:val="double" w:sz="4" w:space="0" w:color="auto"/>
              <w:right w:val="nil"/>
            </w:tcBorders>
          </w:tcPr>
          <w:p w:rsidR="00D60DD1" w:rsidRDefault="00D60DD1" w:rsidP="008E7AD7">
            <w:pPr>
              <w:pStyle w:val="BodyTextIndent"/>
              <w:ind w:firstLine="0"/>
              <w:jc w:val="center"/>
              <w:rPr>
                <w:kern w:val="16"/>
              </w:rPr>
            </w:pPr>
            <w:r>
              <w:rPr>
                <w:kern w:val="16"/>
              </w:rPr>
              <w:t>Not related to TS interventions</w:t>
            </w:r>
          </w:p>
        </w:tc>
        <w:tc>
          <w:tcPr>
            <w:tcW w:w="855" w:type="dxa"/>
            <w:tcBorders>
              <w:top w:val="double" w:sz="4" w:space="0" w:color="auto"/>
              <w:left w:val="nil"/>
              <w:bottom w:val="double" w:sz="4" w:space="0" w:color="auto"/>
              <w:right w:val="nil"/>
            </w:tcBorders>
          </w:tcPr>
          <w:p w:rsidR="00D60DD1" w:rsidRDefault="00D60DD1" w:rsidP="008E7AD7">
            <w:pPr>
              <w:pStyle w:val="BodyTextIndent"/>
              <w:ind w:firstLine="0"/>
              <w:jc w:val="center"/>
              <w:rPr>
                <w:kern w:val="16"/>
              </w:rPr>
            </w:pPr>
            <w:r>
              <w:rPr>
                <w:kern w:val="16"/>
              </w:rPr>
              <w:t>HW</w:t>
            </w:r>
          </w:p>
        </w:tc>
        <w:tc>
          <w:tcPr>
            <w:tcW w:w="778" w:type="dxa"/>
            <w:tcBorders>
              <w:top w:val="double" w:sz="4" w:space="0" w:color="auto"/>
              <w:left w:val="nil"/>
              <w:bottom w:val="double" w:sz="4" w:space="0" w:color="auto"/>
              <w:right w:val="nil"/>
            </w:tcBorders>
          </w:tcPr>
          <w:p w:rsidR="00D60DD1" w:rsidRDefault="00D60DD1" w:rsidP="008E7AD7">
            <w:pPr>
              <w:pStyle w:val="BodyTextIndent"/>
              <w:ind w:firstLine="0"/>
              <w:jc w:val="center"/>
              <w:rPr>
                <w:kern w:val="16"/>
              </w:rPr>
            </w:pPr>
            <w:r>
              <w:rPr>
                <w:kern w:val="16"/>
              </w:rPr>
              <w:t>SW</w:t>
            </w:r>
          </w:p>
        </w:tc>
      </w:tr>
      <w:tr w:rsidR="00D60DD1" w:rsidTr="00567A5B">
        <w:tc>
          <w:tcPr>
            <w:tcW w:w="604" w:type="dxa"/>
            <w:tcBorders>
              <w:top w:val="double" w:sz="4" w:space="0" w:color="auto"/>
              <w:left w:val="nil"/>
              <w:bottom w:val="nil"/>
              <w:right w:val="nil"/>
            </w:tcBorders>
          </w:tcPr>
          <w:p w:rsidR="00D60DD1" w:rsidRDefault="00D60DD1" w:rsidP="008E7AD7">
            <w:pPr>
              <w:pStyle w:val="BodyTextIndent"/>
              <w:ind w:firstLine="0"/>
              <w:rPr>
                <w:kern w:val="16"/>
              </w:rPr>
            </w:pPr>
            <w:r>
              <w:rPr>
                <w:kern w:val="16"/>
              </w:rPr>
              <w:t>TS1</w:t>
            </w:r>
          </w:p>
        </w:tc>
        <w:tc>
          <w:tcPr>
            <w:tcW w:w="944" w:type="dxa"/>
            <w:tcBorders>
              <w:top w:val="double" w:sz="4" w:space="0" w:color="auto"/>
              <w:left w:val="nil"/>
              <w:bottom w:val="nil"/>
              <w:right w:val="nil"/>
            </w:tcBorders>
          </w:tcPr>
          <w:p w:rsidR="00D60DD1" w:rsidRDefault="00D60DD1" w:rsidP="008E7AD7">
            <w:pPr>
              <w:pStyle w:val="BodyTextIndent"/>
              <w:ind w:firstLine="0"/>
              <w:jc w:val="center"/>
              <w:rPr>
                <w:kern w:val="16"/>
              </w:rPr>
            </w:pPr>
            <w:r>
              <w:rPr>
                <w:kern w:val="16"/>
              </w:rPr>
              <w:t>14.5</w:t>
            </w:r>
          </w:p>
        </w:tc>
        <w:tc>
          <w:tcPr>
            <w:tcW w:w="1710" w:type="dxa"/>
            <w:tcBorders>
              <w:top w:val="double" w:sz="4" w:space="0" w:color="auto"/>
              <w:left w:val="nil"/>
              <w:bottom w:val="nil"/>
              <w:right w:val="nil"/>
            </w:tcBorders>
          </w:tcPr>
          <w:p w:rsidR="00D60DD1" w:rsidRDefault="00D60DD1" w:rsidP="008E7AD7">
            <w:pPr>
              <w:pStyle w:val="BodyTextIndent"/>
              <w:ind w:firstLine="0"/>
              <w:jc w:val="center"/>
              <w:rPr>
                <w:kern w:val="16"/>
              </w:rPr>
            </w:pPr>
            <w:r>
              <w:rPr>
                <w:kern w:val="16"/>
              </w:rPr>
              <w:t>48%</w:t>
            </w:r>
          </w:p>
        </w:tc>
        <w:tc>
          <w:tcPr>
            <w:tcW w:w="855" w:type="dxa"/>
            <w:tcBorders>
              <w:top w:val="double" w:sz="4" w:space="0" w:color="auto"/>
              <w:left w:val="nil"/>
              <w:bottom w:val="nil"/>
              <w:right w:val="nil"/>
            </w:tcBorders>
          </w:tcPr>
          <w:p w:rsidR="00D60DD1" w:rsidRDefault="00D60DD1" w:rsidP="008E7AD7">
            <w:pPr>
              <w:pStyle w:val="BodyTextIndent"/>
              <w:ind w:firstLine="0"/>
              <w:jc w:val="center"/>
              <w:rPr>
                <w:kern w:val="16"/>
              </w:rPr>
            </w:pPr>
            <w:r>
              <w:rPr>
                <w:kern w:val="16"/>
              </w:rPr>
              <w:t>62%</w:t>
            </w:r>
          </w:p>
        </w:tc>
        <w:tc>
          <w:tcPr>
            <w:tcW w:w="778" w:type="dxa"/>
            <w:tcBorders>
              <w:top w:val="double" w:sz="4" w:space="0" w:color="auto"/>
              <w:left w:val="nil"/>
              <w:bottom w:val="nil"/>
              <w:right w:val="nil"/>
            </w:tcBorders>
          </w:tcPr>
          <w:p w:rsidR="00D60DD1" w:rsidRDefault="00D60DD1" w:rsidP="008E7AD7">
            <w:pPr>
              <w:pStyle w:val="BodyTextIndent"/>
              <w:ind w:firstLine="0"/>
              <w:jc w:val="center"/>
              <w:rPr>
                <w:kern w:val="16"/>
              </w:rPr>
            </w:pPr>
            <w:r>
              <w:rPr>
                <w:kern w:val="16"/>
              </w:rPr>
              <w:t>38%</w:t>
            </w:r>
          </w:p>
        </w:tc>
      </w:tr>
      <w:tr w:rsidR="00D60DD1" w:rsidTr="00567A5B">
        <w:tc>
          <w:tcPr>
            <w:tcW w:w="604" w:type="dxa"/>
            <w:tcBorders>
              <w:top w:val="nil"/>
              <w:left w:val="nil"/>
              <w:bottom w:val="nil"/>
              <w:right w:val="nil"/>
            </w:tcBorders>
          </w:tcPr>
          <w:p w:rsidR="00D60DD1" w:rsidRDefault="00D60DD1" w:rsidP="008E7AD7">
            <w:pPr>
              <w:pStyle w:val="BodyTextIndent"/>
              <w:ind w:firstLine="0"/>
              <w:rPr>
                <w:kern w:val="16"/>
              </w:rPr>
            </w:pPr>
            <w:r>
              <w:rPr>
                <w:kern w:val="16"/>
              </w:rPr>
              <w:t>TS2</w:t>
            </w:r>
          </w:p>
        </w:tc>
        <w:tc>
          <w:tcPr>
            <w:tcW w:w="944" w:type="dxa"/>
            <w:tcBorders>
              <w:top w:val="nil"/>
              <w:left w:val="nil"/>
              <w:bottom w:val="nil"/>
              <w:right w:val="nil"/>
            </w:tcBorders>
          </w:tcPr>
          <w:p w:rsidR="00D60DD1" w:rsidRDefault="00D60DD1" w:rsidP="008E7AD7">
            <w:pPr>
              <w:pStyle w:val="BodyTextIndent"/>
              <w:ind w:firstLine="0"/>
              <w:jc w:val="center"/>
              <w:rPr>
                <w:kern w:val="16"/>
              </w:rPr>
            </w:pPr>
            <w:r>
              <w:rPr>
                <w:kern w:val="16"/>
              </w:rPr>
              <w:t>15.5</w:t>
            </w:r>
          </w:p>
        </w:tc>
        <w:tc>
          <w:tcPr>
            <w:tcW w:w="1710" w:type="dxa"/>
            <w:tcBorders>
              <w:top w:val="nil"/>
              <w:left w:val="nil"/>
              <w:bottom w:val="nil"/>
              <w:right w:val="nil"/>
            </w:tcBorders>
          </w:tcPr>
          <w:p w:rsidR="00D60DD1" w:rsidRDefault="00D60DD1" w:rsidP="008E7AD7">
            <w:pPr>
              <w:pStyle w:val="BodyTextIndent"/>
              <w:ind w:firstLine="0"/>
              <w:jc w:val="center"/>
              <w:rPr>
                <w:kern w:val="16"/>
              </w:rPr>
            </w:pPr>
            <w:r>
              <w:rPr>
                <w:kern w:val="16"/>
              </w:rPr>
              <w:t>94%</w:t>
            </w:r>
          </w:p>
        </w:tc>
        <w:tc>
          <w:tcPr>
            <w:tcW w:w="855" w:type="dxa"/>
            <w:tcBorders>
              <w:top w:val="nil"/>
              <w:left w:val="nil"/>
              <w:bottom w:val="nil"/>
              <w:right w:val="nil"/>
            </w:tcBorders>
          </w:tcPr>
          <w:p w:rsidR="00D60DD1" w:rsidRDefault="00D60DD1" w:rsidP="008E7AD7">
            <w:pPr>
              <w:pStyle w:val="BodyTextIndent"/>
              <w:ind w:firstLine="0"/>
              <w:jc w:val="center"/>
              <w:rPr>
                <w:kern w:val="16"/>
              </w:rPr>
            </w:pPr>
            <w:r>
              <w:rPr>
                <w:kern w:val="16"/>
              </w:rPr>
              <w:t>90%</w:t>
            </w:r>
          </w:p>
        </w:tc>
        <w:tc>
          <w:tcPr>
            <w:tcW w:w="778" w:type="dxa"/>
            <w:tcBorders>
              <w:top w:val="nil"/>
              <w:left w:val="nil"/>
              <w:bottom w:val="nil"/>
              <w:right w:val="nil"/>
            </w:tcBorders>
          </w:tcPr>
          <w:p w:rsidR="00D60DD1" w:rsidRDefault="00D60DD1" w:rsidP="008E7AD7">
            <w:pPr>
              <w:pStyle w:val="BodyTextIndent"/>
              <w:ind w:firstLine="0"/>
              <w:jc w:val="center"/>
              <w:rPr>
                <w:kern w:val="16"/>
              </w:rPr>
            </w:pPr>
            <w:r>
              <w:rPr>
                <w:kern w:val="16"/>
              </w:rPr>
              <w:t>10%</w:t>
            </w:r>
          </w:p>
        </w:tc>
      </w:tr>
      <w:tr w:rsidR="00D60DD1" w:rsidTr="00567A5B">
        <w:tc>
          <w:tcPr>
            <w:tcW w:w="604" w:type="dxa"/>
            <w:tcBorders>
              <w:top w:val="nil"/>
              <w:left w:val="nil"/>
              <w:bottom w:val="nil"/>
              <w:right w:val="nil"/>
            </w:tcBorders>
          </w:tcPr>
          <w:p w:rsidR="00D60DD1" w:rsidRDefault="00D60DD1" w:rsidP="008E7AD7">
            <w:pPr>
              <w:pStyle w:val="BodyTextIndent"/>
              <w:ind w:firstLine="0"/>
              <w:rPr>
                <w:kern w:val="16"/>
              </w:rPr>
            </w:pPr>
            <w:r>
              <w:rPr>
                <w:kern w:val="16"/>
              </w:rPr>
              <w:t>TS3</w:t>
            </w:r>
          </w:p>
        </w:tc>
        <w:tc>
          <w:tcPr>
            <w:tcW w:w="944" w:type="dxa"/>
            <w:tcBorders>
              <w:top w:val="nil"/>
              <w:left w:val="nil"/>
              <w:bottom w:val="nil"/>
              <w:right w:val="nil"/>
            </w:tcBorders>
          </w:tcPr>
          <w:p w:rsidR="00D60DD1" w:rsidRDefault="00D60DD1" w:rsidP="008E7AD7">
            <w:pPr>
              <w:pStyle w:val="BodyTextIndent"/>
              <w:ind w:firstLine="0"/>
              <w:jc w:val="center"/>
              <w:rPr>
                <w:kern w:val="16"/>
              </w:rPr>
            </w:pPr>
            <w:r>
              <w:rPr>
                <w:kern w:val="16"/>
              </w:rPr>
              <w:t>19.5</w:t>
            </w:r>
          </w:p>
        </w:tc>
        <w:tc>
          <w:tcPr>
            <w:tcW w:w="1710" w:type="dxa"/>
            <w:tcBorders>
              <w:top w:val="nil"/>
              <w:left w:val="nil"/>
              <w:bottom w:val="nil"/>
              <w:right w:val="nil"/>
            </w:tcBorders>
          </w:tcPr>
          <w:p w:rsidR="00D60DD1" w:rsidRDefault="00D60DD1" w:rsidP="008E7AD7">
            <w:pPr>
              <w:pStyle w:val="BodyTextIndent"/>
              <w:ind w:firstLine="0"/>
              <w:jc w:val="center"/>
              <w:rPr>
                <w:kern w:val="16"/>
              </w:rPr>
            </w:pPr>
            <w:r>
              <w:rPr>
                <w:kern w:val="16"/>
              </w:rPr>
              <w:t>46%</w:t>
            </w:r>
          </w:p>
        </w:tc>
        <w:tc>
          <w:tcPr>
            <w:tcW w:w="855" w:type="dxa"/>
            <w:tcBorders>
              <w:top w:val="nil"/>
              <w:left w:val="nil"/>
              <w:bottom w:val="nil"/>
              <w:right w:val="nil"/>
            </w:tcBorders>
          </w:tcPr>
          <w:p w:rsidR="00D60DD1" w:rsidRDefault="00D60DD1" w:rsidP="008E7AD7">
            <w:pPr>
              <w:pStyle w:val="BodyTextIndent"/>
              <w:ind w:firstLine="0"/>
              <w:jc w:val="center"/>
              <w:rPr>
                <w:kern w:val="16"/>
              </w:rPr>
            </w:pPr>
            <w:r>
              <w:rPr>
                <w:kern w:val="16"/>
              </w:rPr>
              <w:t>85%</w:t>
            </w:r>
          </w:p>
        </w:tc>
        <w:tc>
          <w:tcPr>
            <w:tcW w:w="778" w:type="dxa"/>
            <w:tcBorders>
              <w:top w:val="nil"/>
              <w:left w:val="nil"/>
              <w:bottom w:val="nil"/>
              <w:right w:val="nil"/>
            </w:tcBorders>
          </w:tcPr>
          <w:p w:rsidR="00D60DD1" w:rsidRDefault="00D60DD1" w:rsidP="008E7AD7">
            <w:pPr>
              <w:pStyle w:val="BodyTextIndent"/>
              <w:ind w:firstLine="0"/>
              <w:jc w:val="center"/>
              <w:rPr>
                <w:kern w:val="16"/>
              </w:rPr>
            </w:pPr>
            <w:r>
              <w:rPr>
                <w:kern w:val="16"/>
              </w:rPr>
              <w:t>15%</w:t>
            </w:r>
          </w:p>
        </w:tc>
      </w:tr>
      <w:tr w:rsidR="00D60DD1" w:rsidTr="00567A5B">
        <w:tc>
          <w:tcPr>
            <w:tcW w:w="604" w:type="dxa"/>
            <w:tcBorders>
              <w:top w:val="nil"/>
              <w:left w:val="nil"/>
              <w:bottom w:val="nil"/>
              <w:right w:val="nil"/>
            </w:tcBorders>
          </w:tcPr>
          <w:p w:rsidR="00D60DD1" w:rsidRDefault="00D60DD1" w:rsidP="008E7AD7">
            <w:pPr>
              <w:pStyle w:val="BodyTextIndent"/>
              <w:ind w:firstLine="0"/>
              <w:rPr>
                <w:kern w:val="16"/>
              </w:rPr>
            </w:pPr>
            <w:r>
              <w:rPr>
                <w:kern w:val="16"/>
              </w:rPr>
              <w:t>TS4</w:t>
            </w:r>
          </w:p>
        </w:tc>
        <w:tc>
          <w:tcPr>
            <w:tcW w:w="944" w:type="dxa"/>
            <w:tcBorders>
              <w:top w:val="nil"/>
              <w:left w:val="nil"/>
              <w:bottom w:val="nil"/>
              <w:right w:val="nil"/>
            </w:tcBorders>
          </w:tcPr>
          <w:p w:rsidR="00D60DD1" w:rsidRDefault="00D60DD1" w:rsidP="008E7AD7">
            <w:pPr>
              <w:pStyle w:val="BodyTextIndent"/>
              <w:ind w:firstLine="0"/>
              <w:jc w:val="center"/>
              <w:rPr>
                <w:kern w:val="16"/>
              </w:rPr>
            </w:pPr>
            <w:r>
              <w:rPr>
                <w:kern w:val="16"/>
              </w:rPr>
              <w:t>6.5</w:t>
            </w:r>
          </w:p>
        </w:tc>
        <w:tc>
          <w:tcPr>
            <w:tcW w:w="1710" w:type="dxa"/>
            <w:tcBorders>
              <w:top w:val="nil"/>
              <w:left w:val="nil"/>
              <w:bottom w:val="nil"/>
              <w:right w:val="nil"/>
            </w:tcBorders>
          </w:tcPr>
          <w:p w:rsidR="00D60DD1" w:rsidRDefault="00D60DD1" w:rsidP="008E7AD7">
            <w:pPr>
              <w:pStyle w:val="BodyTextIndent"/>
              <w:ind w:firstLine="0"/>
              <w:jc w:val="center"/>
              <w:rPr>
                <w:kern w:val="16"/>
              </w:rPr>
            </w:pPr>
            <w:r>
              <w:rPr>
                <w:kern w:val="16"/>
              </w:rPr>
              <w:t>15%</w:t>
            </w:r>
          </w:p>
        </w:tc>
        <w:tc>
          <w:tcPr>
            <w:tcW w:w="855" w:type="dxa"/>
            <w:tcBorders>
              <w:top w:val="nil"/>
              <w:left w:val="nil"/>
              <w:bottom w:val="nil"/>
              <w:right w:val="nil"/>
            </w:tcBorders>
          </w:tcPr>
          <w:p w:rsidR="00D60DD1" w:rsidRDefault="00D60DD1" w:rsidP="008E7AD7">
            <w:pPr>
              <w:pStyle w:val="BodyTextIndent"/>
              <w:ind w:firstLine="0"/>
              <w:jc w:val="center"/>
              <w:rPr>
                <w:kern w:val="16"/>
              </w:rPr>
            </w:pPr>
            <w:r>
              <w:rPr>
                <w:kern w:val="16"/>
              </w:rPr>
              <w:t>8%</w:t>
            </w:r>
          </w:p>
        </w:tc>
        <w:tc>
          <w:tcPr>
            <w:tcW w:w="778" w:type="dxa"/>
            <w:tcBorders>
              <w:top w:val="nil"/>
              <w:left w:val="nil"/>
              <w:bottom w:val="nil"/>
              <w:right w:val="nil"/>
            </w:tcBorders>
          </w:tcPr>
          <w:p w:rsidR="00D60DD1" w:rsidRDefault="00D60DD1" w:rsidP="008E7AD7">
            <w:pPr>
              <w:pStyle w:val="BodyTextIndent"/>
              <w:ind w:firstLine="0"/>
              <w:jc w:val="center"/>
              <w:rPr>
                <w:kern w:val="16"/>
              </w:rPr>
            </w:pPr>
            <w:r>
              <w:rPr>
                <w:kern w:val="16"/>
              </w:rPr>
              <w:t>92%</w:t>
            </w:r>
          </w:p>
        </w:tc>
      </w:tr>
      <w:tr w:rsidR="00D60DD1" w:rsidTr="00567A5B">
        <w:tc>
          <w:tcPr>
            <w:tcW w:w="604" w:type="dxa"/>
            <w:tcBorders>
              <w:top w:val="nil"/>
              <w:left w:val="nil"/>
              <w:bottom w:val="double" w:sz="4" w:space="0" w:color="auto"/>
              <w:right w:val="nil"/>
            </w:tcBorders>
          </w:tcPr>
          <w:p w:rsidR="00D60DD1" w:rsidRDefault="00D60DD1" w:rsidP="008E7AD7">
            <w:pPr>
              <w:pStyle w:val="BodyTextIndent"/>
              <w:ind w:firstLine="0"/>
              <w:rPr>
                <w:kern w:val="16"/>
              </w:rPr>
            </w:pPr>
            <w:r>
              <w:rPr>
                <w:kern w:val="16"/>
              </w:rPr>
              <w:t>TS5</w:t>
            </w:r>
          </w:p>
        </w:tc>
        <w:tc>
          <w:tcPr>
            <w:tcW w:w="944" w:type="dxa"/>
            <w:tcBorders>
              <w:top w:val="nil"/>
              <w:left w:val="nil"/>
              <w:bottom w:val="double" w:sz="4" w:space="0" w:color="auto"/>
              <w:right w:val="nil"/>
            </w:tcBorders>
          </w:tcPr>
          <w:p w:rsidR="00D60DD1" w:rsidRDefault="00D60DD1" w:rsidP="008E7AD7">
            <w:pPr>
              <w:pStyle w:val="BodyTextIndent"/>
              <w:ind w:firstLine="0"/>
              <w:jc w:val="center"/>
              <w:rPr>
                <w:kern w:val="16"/>
              </w:rPr>
            </w:pPr>
            <w:r>
              <w:rPr>
                <w:kern w:val="16"/>
              </w:rPr>
              <w:t>4</w:t>
            </w:r>
          </w:p>
        </w:tc>
        <w:tc>
          <w:tcPr>
            <w:tcW w:w="1710" w:type="dxa"/>
            <w:tcBorders>
              <w:top w:val="nil"/>
              <w:left w:val="nil"/>
              <w:bottom w:val="double" w:sz="4" w:space="0" w:color="auto"/>
              <w:right w:val="nil"/>
            </w:tcBorders>
          </w:tcPr>
          <w:p w:rsidR="00D60DD1" w:rsidRDefault="00D60DD1" w:rsidP="008E7AD7">
            <w:pPr>
              <w:pStyle w:val="BodyTextIndent"/>
              <w:ind w:firstLine="0"/>
              <w:jc w:val="center"/>
              <w:rPr>
                <w:kern w:val="16"/>
              </w:rPr>
            </w:pPr>
            <w:r>
              <w:rPr>
                <w:kern w:val="16"/>
              </w:rPr>
              <w:t>50%</w:t>
            </w:r>
          </w:p>
        </w:tc>
        <w:tc>
          <w:tcPr>
            <w:tcW w:w="855" w:type="dxa"/>
            <w:tcBorders>
              <w:top w:val="nil"/>
              <w:left w:val="nil"/>
              <w:bottom w:val="double" w:sz="4" w:space="0" w:color="auto"/>
              <w:right w:val="nil"/>
            </w:tcBorders>
          </w:tcPr>
          <w:p w:rsidR="00D60DD1" w:rsidRDefault="00D60DD1" w:rsidP="008E7AD7">
            <w:pPr>
              <w:pStyle w:val="BodyTextIndent"/>
              <w:ind w:firstLine="0"/>
              <w:jc w:val="center"/>
              <w:rPr>
                <w:kern w:val="16"/>
              </w:rPr>
            </w:pPr>
            <w:r>
              <w:rPr>
                <w:kern w:val="16"/>
              </w:rPr>
              <w:t>62%</w:t>
            </w:r>
          </w:p>
        </w:tc>
        <w:tc>
          <w:tcPr>
            <w:tcW w:w="778" w:type="dxa"/>
            <w:tcBorders>
              <w:top w:val="nil"/>
              <w:left w:val="nil"/>
              <w:bottom w:val="double" w:sz="4" w:space="0" w:color="auto"/>
              <w:right w:val="nil"/>
            </w:tcBorders>
          </w:tcPr>
          <w:p w:rsidR="00D60DD1" w:rsidRDefault="00D60DD1" w:rsidP="008E7AD7">
            <w:pPr>
              <w:pStyle w:val="BodyTextIndent"/>
              <w:ind w:firstLine="0"/>
              <w:jc w:val="center"/>
              <w:rPr>
                <w:kern w:val="16"/>
              </w:rPr>
            </w:pPr>
            <w:r>
              <w:rPr>
                <w:kern w:val="16"/>
              </w:rPr>
              <w:t>38%</w:t>
            </w:r>
          </w:p>
        </w:tc>
      </w:tr>
    </w:tbl>
    <w:p w:rsidR="007E7C17" w:rsidRDefault="00BA3B18" w:rsidP="005959F8">
      <w:pPr>
        <w:pStyle w:val="BodyTextIndent"/>
        <w:rPr>
          <w:kern w:val="16"/>
        </w:rPr>
      </w:pPr>
      <w:r>
        <w:rPr>
          <w:kern w:val="16"/>
        </w:rPr>
        <w:t>Table 2. Time lost and origin.</w:t>
      </w:r>
    </w:p>
    <w:p w:rsidR="00873D86" w:rsidRDefault="00873D86" w:rsidP="005959F8">
      <w:pPr>
        <w:pStyle w:val="BodyTextIndent"/>
        <w:rPr>
          <w:kern w:val="16"/>
        </w:rPr>
      </w:pPr>
    </w:p>
    <w:p w:rsidR="00F80254" w:rsidRDefault="00F80254" w:rsidP="00F80254">
      <w:pPr>
        <w:pStyle w:val="Heading3"/>
        <w:rPr>
          <w:kern w:val="16"/>
        </w:rPr>
      </w:pPr>
      <w:r>
        <w:rPr>
          <w:kern w:val="16"/>
        </w:rPr>
        <w:t>Questions and answers</w:t>
      </w:r>
    </w:p>
    <w:p w:rsidR="001C7DBF" w:rsidRDefault="00904712" w:rsidP="001C7DBF">
      <w:pPr>
        <w:pStyle w:val="BodyTextIndent"/>
        <w:rPr>
          <w:kern w:val="16"/>
        </w:rPr>
      </w:pPr>
      <w:r w:rsidRPr="00904712">
        <w:rPr>
          <w:b/>
          <w:kern w:val="16"/>
        </w:rPr>
        <w:t>S. Redaelli</w:t>
      </w:r>
      <w:r>
        <w:rPr>
          <w:kern w:val="16"/>
        </w:rPr>
        <w:t xml:space="preserve"> asked whether we could anticipate or cancel the last TS in 2012</w:t>
      </w:r>
      <w:r w:rsidR="00F80254">
        <w:rPr>
          <w:kern w:val="16"/>
        </w:rPr>
        <w:t>.</w:t>
      </w:r>
      <w:r w:rsidR="001C7DBF" w:rsidRPr="001C7DBF">
        <w:rPr>
          <w:kern w:val="16"/>
        </w:rPr>
        <w:t xml:space="preserve"> </w:t>
      </w:r>
      <w:r w:rsidRPr="00904712">
        <w:rPr>
          <w:b/>
          <w:kern w:val="16"/>
        </w:rPr>
        <w:t>M.</w:t>
      </w:r>
      <w:r>
        <w:rPr>
          <w:kern w:val="16"/>
        </w:rPr>
        <w:t xml:space="preserve"> The installation of the ZDC is done in that period and it is too sensitive to radiation to have it in with protons.</w:t>
      </w:r>
    </w:p>
    <w:p w:rsidR="00995D7B" w:rsidRDefault="00995D7B" w:rsidP="001C7DBF">
      <w:pPr>
        <w:pStyle w:val="BodyTextIndent"/>
        <w:rPr>
          <w:kern w:val="16"/>
        </w:rPr>
      </w:pPr>
      <w:r w:rsidRPr="00995D7B">
        <w:rPr>
          <w:b/>
          <w:kern w:val="16"/>
        </w:rPr>
        <w:t>M. Pojer</w:t>
      </w:r>
      <w:r>
        <w:rPr>
          <w:kern w:val="16"/>
        </w:rPr>
        <w:t xml:space="preserve"> asked whether it would be possible to stop only in case of faults and not having TS at all. </w:t>
      </w:r>
      <w:r w:rsidRPr="00995D7B">
        <w:rPr>
          <w:b/>
          <w:kern w:val="16"/>
        </w:rPr>
        <w:t>M. Nonis</w:t>
      </w:r>
      <w:r>
        <w:rPr>
          <w:b/>
          <w:kern w:val="16"/>
        </w:rPr>
        <w:t xml:space="preserve"> and S. Baird</w:t>
      </w:r>
      <w:r>
        <w:rPr>
          <w:kern w:val="16"/>
        </w:rPr>
        <w:t xml:space="preserve"> commented that the risk is then stopping for a major event and for a long time.</w:t>
      </w:r>
    </w:p>
    <w:p w:rsidR="00BC1964" w:rsidRDefault="00BC1964" w:rsidP="001C7DBF">
      <w:pPr>
        <w:pStyle w:val="BodyTextIndent"/>
        <w:rPr>
          <w:kern w:val="16"/>
        </w:rPr>
      </w:pPr>
      <w:r>
        <w:rPr>
          <w:kern w:val="16"/>
        </w:rPr>
        <w:t>The general consensus was that it would be difficult to reduce the number and the duration of TS presently foreseen for 2012 (4 x 5 days).</w:t>
      </w:r>
    </w:p>
    <w:p w:rsidR="001C7DBF" w:rsidRDefault="001C7DBF" w:rsidP="001C7DBF">
      <w:pPr>
        <w:pStyle w:val="Heading2"/>
        <w:spacing w:before="180"/>
      </w:pPr>
      <w:r w:rsidRPr="001C7DBF">
        <w:t>R2E – experience and outlook for 2012</w:t>
      </w:r>
      <w:r>
        <w:t>, G. Spiezia</w:t>
      </w:r>
    </w:p>
    <w:p w:rsidR="00454B9D" w:rsidRDefault="00454B9D" w:rsidP="001C7DBF">
      <w:pPr>
        <w:pStyle w:val="BodyTextIndent"/>
        <w:rPr>
          <w:kern w:val="16"/>
        </w:rPr>
      </w:pPr>
      <w:r>
        <w:rPr>
          <w:kern w:val="16"/>
        </w:rPr>
        <w:t>Operation in 2011 saw about 70 radiation linked dump events. Chamonix 2011 made a prediction of 100 events.</w:t>
      </w:r>
    </w:p>
    <w:p w:rsidR="00F80254" w:rsidRDefault="00047090" w:rsidP="001C7DBF">
      <w:pPr>
        <w:pStyle w:val="BodyTextIndent"/>
        <w:rPr>
          <w:kern w:val="16"/>
        </w:rPr>
      </w:pPr>
      <w:r>
        <w:rPr>
          <w:kern w:val="16"/>
        </w:rPr>
        <w:t>The first priority of R2E in the past was to relocate immediately all safety critical components; since then, a plan of shielding (as a fast improvement), relocation and new design has been drawn.</w:t>
      </w:r>
    </w:p>
    <w:p w:rsidR="00047090" w:rsidRDefault="00047090" w:rsidP="001C7DBF">
      <w:pPr>
        <w:pStyle w:val="BodyTextIndent"/>
        <w:rPr>
          <w:kern w:val="16"/>
        </w:rPr>
      </w:pPr>
      <w:r>
        <w:rPr>
          <w:kern w:val="16"/>
        </w:rPr>
        <w:t xml:space="preserve">After recalling the mitigation measures taken before 2011, the </w:t>
      </w:r>
      <w:r w:rsidR="009A133B">
        <w:rPr>
          <w:kern w:val="16"/>
        </w:rPr>
        <w:t>presenter</w:t>
      </w:r>
      <w:r>
        <w:rPr>
          <w:kern w:val="16"/>
        </w:rPr>
        <w:t xml:space="preserve"> </w:t>
      </w:r>
      <w:r w:rsidR="009A133B">
        <w:rPr>
          <w:kern w:val="16"/>
        </w:rPr>
        <w:t xml:space="preserve">showed </w:t>
      </w:r>
      <w:r>
        <w:rPr>
          <w:kern w:val="16"/>
        </w:rPr>
        <w:t>the good agreement between FLUKA simulated radiation doses in the most exposed areas of the LHC and the measured values</w:t>
      </w:r>
      <w:r w:rsidR="00DE51E0">
        <w:rPr>
          <w:kern w:val="16"/>
        </w:rPr>
        <w:t>.</w:t>
      </w:r>
      <w:r>
        <w:rPr>
          <w:kern w:val="16"/>
        </w:rPr>
        <w:t xml:space="preserve"> </w:t>
      </w:r>
      <w:r w:rsidR="00DE51E0">
        <w:rPr>
          <w:kern w:val="16"/>
        </w:rPr>
        <w:t>The effect of the beam-gas on the radiation levels need to be better understood. T</w:t>
      </w:r>
      <w:r>
        <w:rPr>
          <w:kern w:val="16"/>
        </w:rPr>
        <w:t xml:space="preserve">he estimated </w:t>
      </w:r>
      <w:r w:rsidR="00DE51E0">
        <w:rPr>
          <w:kern w:val="16"/>
        </w:rPr>
        <w:t xml:space="preserve">doses </w:t>
      </w:r>
      <w:r>
        <w:rPr>
          <w:kern w:val="16"/>
        </w:rPr>
        <w:t>for 2012</w:t>
      </w:r>
      <w:r w:rsidR="00DE51E0">
        <w:rPr>
          <w:kern w:val="16"/>
        </w:rPr>
        <w:t xml:space="preserve"> were presented</w:t>
      </w:r>
      <w:r>
        <w:rPr>
          <w:kern w:val="16"/>
        </w:rPr>
        <w:t xml:space="preserve">. Based on these assumptions, the </w:t>
      </w:r>
      <w:r w:rsidR="00181163">
        <w:rPr>
          <w:kern w:val="16"/>
        </w:rPr>
        <w:t>areas at risk are:</w:t>
      </w:r>
    </w:p>
    <w:p w:rsidR="00181163" w:rsidRDefault="00181163" w:rsidP="00181163">
      <w:pPr>
        <w:pStyle w:val="BodyTextIndent"/>
        <w:numPr>
          <w:ilvl w:val="0"/>
          <w:numId w:val="24"/>
        </w:numPr>
        <w:rPr>
          <w:kern w:val="16"/>
        </w:rPr>
      </w:pPr>
      <w:r>
        <w:rPr>
          <w:kern w:val="16"/>
        </w:rPr>
        <w:t>Point1 UJs and RRs, with a factor 3</w:t>
      </w:r>
      <w:r w:rsidR="00DE51E0">
        <w:rPr>
          <w:kern w:val="16"/>
        </w:rPr>
        <w:t xml:space="preserve"> more</w:t>
      </w:r>
      <w:r>
        <w:rPr>
          <w:kern w:val="16"/>
        </w:rPr>
        <w:t xml:space="preserve"> losses – shielding and relocation already foreseen to mitigate;</w:t>
      </w:r>
    </w:p>
    <w:p w:rsidR="00181163" w:rsidRDefault="00181163" w:rsidP="00181163">
      <w:pPr>
        <w:pStyle w:val="BodyTextIndent"/>
        <w:numPr>
          <w:ilvl w:val="0"/>
          <w:numId w:val="24"/>
        </w:numPr>
        <w:rPr>
          <w:kern w:val="16"/>
        </w:rPr>
      </w:pPr>
      <w:r>
        <w:rPr>
          <w:kern w:val="16"/>
        </w:rPr>
        <w:t>US85, with a factor 1.5 – relocations already planned;</w:t>
      </w:r>
    </w:p>
    <w:p w:rsidR="005536BC" w:rsidRDefault="00181163" w:rsidP="005536BC">
      <w:pPr>
        <w:pStyle w:val="BodyTextIndent"/>
        <w:numPr>
          <w:ilvl w:val="0"/>
          <w:numId w:val="24"/>
        </w:numPr>
        <w:rPr>
          <w:kern w:val="16"/>
        </w:rPr>
      </w:pPr>
      <w:r w:rsidRPr="005536BC">
        <w:rPr>
          <w:kern w:val="16"/>
        </w:rPr>
        <w:t>UJ76 and RR73/77, with a factor 3 due to collimator losses;</w:t>
      </w:r>
    </w:p>
    <w:p w:rsidR="005536BC" w:rsidRPr="005536BC" w:rsidRDefault="00181163" w:rsidP="005536BC">
      <w:pPr>
        <w:pStyle w:val="BodyTextIndent"/>
        <w:numPr>
          <w:ilvl w:val="0"/>
          <w:numId w:val="24"/>
        </w:numPr>
        <w:rPr>
          <w:kern w:val="16"/>
        </w:rPr>
      </w:pPr>
      <w:r w:rsidRPr="005536BC">
        <w:rPr>
          <w:kern w:val="16"/>
        </w:rPr>
        <w:t xml:space="preserve">DS/ARC, with leakage from experiments, collimation losses and beam gas – further </w:t>
      </w:r>
      <w:r w:rsidR="00650748" w:rsidRPr="005536BC">
        <w:rPr>
          <w:kern w:val="16"/>
        </w:rPr>
        <w:t>investigation needed to understand the effect with 25 ns scrubbing runs and tight collimator settings</w:t>
      </w:r>
      <w:r w:rsidRPr="005536BC">
        <w:rPr>
          <w:kern w:val="16"/>
        </w:rPr>
        <w:t>.</w:t>
      </w:r>
      <w:r w:rsidR="005536BC" w:rsidRPr="005536BC">
        <w:rPr>
          <w:kern w:val="16"/>
        </w:rPr>
        <w:t xml:space="preserve"> </w:t>
      </w:r>
    </w:p>
    <w:p w:rsidR="00000000" w:rsidRDefault="00E572D7">
      <w:pPr>
        <w:ind w:firstLine="187"/>
        <w:rPr>
          <w:kern w:val="16"/>
        </w:rPr>
      </w:pPr>
      <w:r w:rsidRPr="00E572D7">
        <w:rPr>
          <w:kern w:val="16"/>
        </w:rPr>
        <w:t>For ion operation the installation of additional RadMon monitors is suggested, to be able to better understand the present model and differences with proton operation.</w:t>
      </w:r>
    </w:p>
    <w:p w:rsidR="005536BC" w:rsidRDefault="005536BC" w:rsidP="005536BC">
      <w:pPr>
        <w:pStyle w:val="Heading3"/>
        <w:rPr>
          <w:kern w:val="16"/>
        </w:rPr>
      </w:pPr>
      <w:r>
        <w:rPr>
          <w:kern w:val="16"/>
        </w:rPr>
        <w:t>Failure analysis</w:t>
      </w:r>
    </w:p>
    <w:p w:rsidR="00351634" w:rsidRDefault="00E572D7" w:rsidP="005536BC">
      <w:pPr>
        <w:pStyle w:val="BodyTextIndent"/>
        <w:rPr>
          <w:kern w:val="16"/>
        </w:rPr>
      </w:pPr>
      <w:r>
        <w:rPr>
          <w:kern w:val="16"/>
        </w:rPr>
        <w:t>T</w:t>
      </w:r>
      <w:r w:rsidR="00351634">
        <w:rPr>
          <w:kern w:val="16"/>
        </w:rPr>
        <w:t xml:space="preserve">he data </w:t>
      </w:r>
      <w:r w:rsidR="00C37801">
        <w:rPr>
          <w:kern w:val="16"/>
        </w:rPr>
        <w:t>concerning</w:t>
      </w:r>
      <w:r w:rsidR="00351634">
        <w:rPr>
          <w:kern w:val="16"/>
        </w:rPr>
        <w:t xml:space="preserve"> </w:t>
      </w:r>
      <w:r w:rsidR="00C37801">
        <w:rPr>
          <w:kern w:val="16"/>
        </w:rPr>
        <w:t>equipment failure related to radiation is</w:t>
      </w:r>
      <w:r w:rsidR="005536BC">
        <w:rPr>
          <w:kern w:val="16"/>
        </w:rPr>
        <w:t xml:space="preserve"> stored on the PM database</w:t>
      </w:r>
      <w:r w:rsidR="00C37801">
        <w:rPr>
          <w:kern w:val="16"/>
        </w:rPr>
        <w:t>.</w:t>
      </w:r>
      <w:r w:rsidR="00351634">
        <w:rPr>
          <w:kern w:val="16"/>
        </w:rPr>
        <w:t xml:space="preserve"> </w:t>
      </w:r>
      <w:r w:rsidR="00C37801">
        <w:rPr>
          <w:kern w:val="16"/>
        </w:rPr>
        <w:t>The</w:t>
      </w:r>
      <w:r w:rsidR="00351634">
        <w:rPr>
          <w:kern w:val="16"/>
        </w:rPr>
        <w:t xml:space="preserve"> majority of </w:t>
      </w:r>
      <w:r w:rsidR="00C37801">
        <w:rPr>
          <w:kern w:val="16"/>
        </w:rPr>
        <w:t>the failures did not lead to a beam dump,</w:t>
      </w:r>
      <w:r w:rsidR="00351634">
        <w:rPr>
          <w:kern w:val="16"/>
        </w:rPr>
        <w:t xml:space="preserve"> due to the patch solutions applied.</w:t>
      </w:r>
      <w:r w:rsidR="00953136">
        <w:rPr>
          <w:kern w:val="16"/>
        </w:rPr>
        <w:t xml:space="preserve"> T</w:t>
      </w:r>
      <w:r w:rsidR="00077595">
        <w:rPr>
          <w:kern w:val="16"/>
        </w:rPr>
        <w:t xml:space="preserve">he DS events dominated </w:t>
      </w:r>
      <w:r w:rsidR="00953136">
        <w:rPr>
          <w:kern w:val="16"/>
        </w:rPr>
        <w:t xml:space="preserve">the failures </w:t>
      </w:r>
      <w:r w:rsidR="00077595">
        <w:rPr>
          <w:kern w:val="16"/>
        </w:rPr>
        <w:t>in 2011</w:t>
      </w:r>
      <w:r w:rsidR="00953136">
        <w:rPr>
          <w:kern w:val="16"/>
        </w:rPr>
        <w:t>.</w:t>
      </w:r>
      <w:r w:rsidR="00077595">
        <w:rPr>
          <w:kern w:val="16"/>
        </w:rPr>
        <w:t xml:space="preserve"> </w:t>
      </w:r>
      <w:r w:rsidR="00C07952">
        <w:rPr>
          <w:kern w:val="16"/>
        </w:rPr>
        <w:t>Among</w:t>
      </w:r>
      <w:r w:rsidR="00953136">
        <w:rPr>
          <w:kern w:val="16"/>
        </w:rPr>
        <w:t xml:space="preserve"> t</w:t>
      </w:r>
      <w:r w:rsidR="00077595">
        <w:rPr>
          <w:kern w:val="16"/>
        </w:rPr>
        <w:t>he shielded area</w:t>
      </w:r>
      <w:r w:rsidR="00C07952">
        <w:rPr>
          <w:kern w:val="16"/>
        </w:rPr>
        <w:t>s</w:t>
      </w:r>
      <w:r w:rsidR="00077595">
        <w:rPr>
          <w:kern w:val="16"/>
        </w:rPr>
        <w:t xml:space="preserve">, UJ14/16 </w:t>
      </w:r>
      <w:proofErr w:type="gramStart"/>
      <w:r w:rsidR="00077595">
        <w:rPr>
          <w:kern w:val="16"/>
        </w:rPr>
        <w:t>were</w:t>
      </w:r>
      <w:proofErr w:type="gramEnd"/>
      <w:r w:rsidR="00077595">
        <w:rPr>
          <w:kern w:val="16"/>
        </w:rPr>
        <w:t xml:space="preserve"> the most critical.</w:t>
      </w:r>
    </w:p>
    <w:p w:rsidR="00D339CD" w:rsidRDefault="00D339CD" w:rsidP="005536BC">
      <w:pPr>
        <w:pStyle w:val="BodyTextIndent"/>
        <w:rPr>
          <w:kern w:val="16"/>
        </w:rPr>
      </w:pPr>
      <w:r w:rsidRPr="00D339CD">
        <w:rPr>
          <w:kern w:val="16"/>
        </w:rPr>
        <w:t>As for the systems, the most affected were the QPS, the collimator controls, the access system, the BIC, the power converters, and EN/EL equipment.</w:t>
      </w:r>
      <w:r w:rsidR="00953136">
        <w:rPr>
          <w:kern w:val="16"/>
        </w:rPr>
        <w:t xml:space="preserve"> </w:t>
      </w:r>
      <w:r>
        <w:rPr>
          <w:kern w:val="16"/>
        </w:rPr>
        <w:t>In terms of downtime, the dumps took 350 h, with 50 h needed for access. The most impacted were cryogenics and QPS.</w:t>
      </w:r>
    </w:p>
    <w:p w:rsidR="00D339CD" w:rsidRDefault="00D339CD" w:rsidP="00D339CD">
      <w:pPr>
        <w:pStyle w:val="Heading3"/>
        <w:rPr>
          <w:kern w:val="16"/>
        </w:rPr>
      </w:pPr>
      <w:r>
        <w:rPr>
          <w:kern w:val="16"/>
        </w:rPr>
        <w:t>Outlook for 2012</w:t>
      </w:r>
    </w:p>
    <w:p w:rsidR="00D90A9E" w:rsidRDefault="00D339CD" w:rsidP="00D90A9E">
      <w:pPr>
        <w:pStyle w:val="BodyTextIndent"/>
        <w:rPr>
          <w:kern w:val="16"/>
        </w:rPr>
      </w:pPr>
      <w:r>
        <w:rPr>
          <w:kern w:val="16"/>
        </w:rPr>
        <w:t>With the mitigation actions foreseen for the Christmas break</w:t>
      </w:r>
      <w:r w:rsidR="00D90A9E">
        <w:rPr>
          <w:kern w:val="16"/>
        </w:rPr>
        <w:t>, the expected number of event</w:t>
      </w:r>
      <w:r w:rsidR="00262A3A">
        <w:rPr>
          <w:kern w:val="16"/>
        </w:rPr>
        <w:t>s</w:t>
      </w:r>
      <w:r w:rsidR="00D90A9E">
        <w:rPr>
          <w:kern w:val="16"/>
        </w:rPr>
        <w:t xml:space="preserve"> for 2012 is between 30 and 50 (against about 150, without mitigation), to be compared with the 70 events of 2011.</w:t>
      </w:r>
      <w:r w:rsidR="00D90A9E" w:rsidRPr="00D90A9E">
        <w:rPr>
          <w:kern w:val="16"/>
        </w:rPr>
        <w:t xml:space="preserve"> </w:t>
      </w:r>
    </w:p>
    <w:p w:rsidR="00D90A9E" w:rsidRDefault="00D90A9E" w:rsidP="00D90A9E">
      <w:pPr>
        <w:pStyle w:val="Heading3"/>
        <w:rPr>
          <w:kern w:val="16"/>
        </w:rPr>
      </w:pPr>
      <w:r>
        <w:rPr>
          <w:kern w:val="16"/>
        </w:rPr>
        <w:t>Questions and answers</w:t>
      </w:r>
    </w:p>
    <w:p w:rsidR="00D90A9E" w:rsidRDefault="00995D7B" w:rsidP="00D90A9E">
      <w:pPr>
        <w:pStyle w:val="BodyTextIndent"/>
        <w:rPr>
          <w:kern w:val="16"/>
        </w:rPr>
      </w:pPr>
      <w:r w:rsidRPr="00995D7B">
        <w:rPr>
          <w:b/>
          <w:kern w:val="16"/>
        </w:rPr>
        <w:t>S. Baird</w:t>
      </w:r>
      <w:r>
        <w:rPr>
          <w:kern w:val="16"/>
        </w:rPr>
        <w:t xml:space="preserve"> observed that most of the mitigation actions in 2011 were carried out during the TSs.</w:t>
      </w:r>
    </w:p>
    <w:p w:rsidR="00995D7B" w:rsidRDefault="00995D7B" w:rsidP="00D90A9E">
      <w:pPr>
        <w:pStyle w:val="BodyTextIndent"/>
        <w:rPr>
          <w:kern w:val="16"/>
        </w:rPr>
      </w:pPr>
      <w:r w:rsidRPr="00995D7B">
        <w:rPr>
          <w:b/>
          <w:kern w:val="16"/>
        </w:rPr>
        <w:t>G. Arduini</w:t>
      </w:r>
      <w:r>
        <w:rPr>
          <w:kern w:val="16"/>
        </w:rPr>
        <w:t xml:space="preserve"> asked what is expected with the 25 ns. </w:t>
      </w:r>
      <w:r w:rsidRPr="00995D7B">
        <w:rPr>
          <w:b/>
          <w:kern w:val="16"/>
        </w:rPr>
        <w:t>G.</w:t>
      </w:r>
      <w:r>
        <w:rPr>
          <w:kern w:val="16"/>
        </w:rPr>
        <w:t xml:space="preserve"> We need more data.</w:t>
      </w:r>
    </w:p>
    <w:p w:rsidR="00995D7B" w:rsidRDefault="00995D7B" w:rsidP="00D90A9E">
      <w:pPr>
        <w:pStyle w:val="BodyTextIndent"/>
        <w:rPr>
          <w:kern w:val="16"/>
        </w:rPr>
      </w:pPr>
      <w:r w:rsidRPr="00995D7B">
        <w:rPr>
          <w:b/>
          <w:kern w:val="16"/>
        </w:rPr>
        <w:t>M. Lamont</w:t>
      </w:r>
      <w:r>
        <w:rPr>
          <w:kern w:val="16"/>
        </w:rPr>
        <w:t xml:space="preserve"> asked whether the destructive event on the PC is fully understood. </w:t>
      </w:r>
      <w:r w:rsidRPr="00995D7B">
        <w:rPr>
          <w:b/>
          <w:kern w:val="16"/>
        </w:rPr>
        <w:t>G.</w:t>
      </w:r>
      <w:r>
        <w:rPr>
          <w:kern w:val="16"/>
        </w:rPr>
        <w:t xml:space="preserve"> Not fully, since the component was destroyed.</w:t>
      </w:r>
    </w:p>
    <w:p w:rsidR="00995D7B" w:rsidRDefault="00995D7B" w:rsidP="00D90A9E">
      <w:pPr>
        <w:pStyle w:val="BodyTextIndent"/>
        <w:rPr>
          <w:kern w:val="16"/>
        </w:rPr>
      </w:pPr>
      <w:r w:rsidRPr="00995D7B">
        <w:rPr>
          <w:b/>
          <w:kern w:val="16"/>
        </w:rPr>
        <w:t>A. MacPherson</w:t>
      </w:r>
      <w:r>
        <w:rPr>
          <w:kern w:val="16"/>
        </w:rPr>
        <w:t xml:space="preserve"> asked whether similar event on the access system as in UJ14/a6 should be expected for other points. </w:t>
      </w:r>
      <w:r w:rsidRPr="00995D7B">
        <w:rPr>
          <w:b/>
          <w:kern w:val="16"/>
        </w:rPr>
        <w:t>G.</w:t>
      </w:r>
      <w:r>
        <w:rPr>
          <w:kern w:val="16"/>
        </w:rPr>
        <w:t xml:space="preserve"> Not clear.</w:t>
      </w:r>
    </w:p>
    <w:p w:rsidR="00165665" w:rsidRPr="00995D7B" w:rsidRDefault="00165665" w:rsidP="00995D7B">
      <w:pPr>
        <w:pStyle w:val="Heading2"/>
        <w:jc w:val="both"/>
        <w:sectPr w:rsidR="00165665" w:rsidRPr="00995D7B"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165665" w:rsidRPr="008841F0" w:rsidRDefault="00165665" w:rsidP="00165665">
      <w:pPr>
        <w:pStyle w:val="BodyTextIndent"/>
        <w:ind w:firstLine="0"/>
        <w:rPr>
          <w:rStyle w:val="FootnoteReference"/>
        </w:rPr>
      </w:pPr>
    </w:p>
    <w:p w:rsidR="00B75D5E" w:rsidRPr="00165665" w:rsidRDefault="00B75D5E" w:rsidP="00165665"/>
    <w:sectPr w:rsidR="00B75D5E" w:rsidRP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A8D" w:rsidRDefault="00BD7A8D"/>
  </w:endnote>
  <w:endnote w:type="continuationSeparator" w:id="0">
    <w:p w:rsidR="00BD7A8D" w:rsidRDefault="00BD7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A8D" w:rsidRDefault="00BD7A8D">
      <w:r>
        <w:separator/>
      </w:r>
    </w:p>
  </w:footnote>
  <w:footnote w:type="continuationSeparator" w:id="0">
    <w:p w:rsidR="00BD7A8D" w:rsidRDefault="00BD7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3BC4C91"/>
    <w:multiLevelType w:val="hybridMultilevel"/>
    <w:tmpl w:val="3A8EB0F8"/>
    <w:lvl w:ilvl="0" w:tplc="8C5C175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2C0FEE"/>
    <w:multiLevelType w:val="hybridMultilevel"/>
    <w:tmpl w:val="EF760CA2"/>
    <w:lvl w:ilvl="0" w:tplc="AAC00BB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28E806F4"/>
    <w:multiLevelType w:val="hybridMultilevel"/>
    <w:tmpl w:val="94841D1C"/>
    <w:lvl w:ilvl="0" w:tplc="40042C9A">
      <w:start w:val="10"/>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nsid w:val="2EE834E8"/>
    <w:multiLevelType w:val="hybridMultilevel"/>
    <w:tmpl w:val="69DC7BB0"/>
    <w:lvl w:ilvl="0" w:tplc="9D8C7B8E">
      <w:start w:val="7"/>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7">
    <w:nsid w:val="38585870"/>
    <w:multiLevelType w:val="hybridMultilevel"/>
    <w:tmpl w:val="662C3C66"/>
    <w:lvl w:ilvl="0" w:tplc="BEF2D71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38E852BF"/>
    <w:multiLevelType w:val="hybridMultilevel"/>
    <w:tmpl w:val="BE4C16E6"/>
    <w:lvl w:ilvl="0" w:tplc="8C88C7A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nsid w:val="48D84A8A"/>
    <w:multiLevelType w:val="hybridMultilevel"/>
    <w:tmpl w:val="3A8EB0F8"/>
    <w:lvl w:ilvl="0" w:tplc="8C5C175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4D9D5889"/>
    <w:multiLevelType w:val="hybridMultilevel"/>
    <w:tmpl w:val="DBFAA24E"/>
    <w:lvl w:ilvl="0" w:tplc="291C8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nsid w:val="50336876"/>
    <w:multiLevelType w:val="hybridMultilevel"/>
    <w:tmpl w:val="A8C2B85A"/>
    <w:lvl w:ilvl="0" w:tplc="48869FE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23">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nsid w:val="6BE63437"/>
    <w:multiLevelType w:val="hybridMultilevel"/>
    <w:tmpl w:val="869A4F70"/>
    <w:lvl w:ilvl="0" w:tplc="034A9B4E">
      <w:numFmt w:val="bullet"/>
      <w:lvlText w:val="-"/>
      <w:lvlJc w:val="left"/>
      <w:pPr>
        <w:ind w:left="547" w:hanging="360"/>
      </w:pPr>
      <w:rPr>
        <w:rFonts w:ascii="Times New Roman" w:eastAsia="Times New Roman" w:hAnsi="Times New Roman" w:cs="Times New Roman" w:hint="default"/>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2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18"/>
  </w:num>
  <w:num w:numId="17">
    <w:abstractNumId w:val="17"/>
  </w:num>
  <w:num w:numId="18">
    <w:abstractNumId w:val="20"/>
  </w:num>
  <w:num w:numId="19">
    <w:abstractNumId w:val="14"/>
  </w:num>
  <w:num w:numId="20">
    <w:abstractNumId w:val="21"/>
  </w:num>
  <w:num w:numId="21">
    <w:abstractNumId w:val="24"/>
  </w:num>
  <w:num w:numId="22">
    <w:abstractNumId w:val="16"/>
  </w:num>
  <w:num w:numId="23">
    <w:abstractNumId w:val="15"/>
  </w:num>
  <w:num w:numId="24">
    <w:abstractNumId w:val="1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4D6211"/>
    <w:rsid w:val="00047090"/>
    <w:rsid w:val="000516B7"/>
    <w:rsid w:val="00052CB4"/>
    <w:rsid w:val="00057347"/>
    <w:rsid w:val="00072133"/>
    <w:rsid w:val="00074A20"/>
    <w:rsid w:val="00077595"/>
    <w:rsid w:val="00093655"/>
    <w:rsid w:val="000A2A9A"/>
    <w:rsid w:val="000A38ED"/>
    <w:rsid w:val="000C1E5B"/>
    <w:rsid w:val="000D0EE2"/>
    <w:rsid w:val="000E1235"/>
    <w:rsid w:val="000E1BEA"/>
    <w:rsid w:val="000E28FD"/>
    <w:rsid w:val="000E57D6"/>
    <w:rsid w:val="000E5E5E"/>
    <w:rsid w:val="000F65B8"/>
    <w:rsid w:val="0014145F"/>
    <w:rsid w:val="0015344C"/>
    <w:rsid w:val="001653C5"/>
    <w:rsid w:val="00165665"/>
    <w:rsid w:val="00175EC6"/>
    <w:rsid w:val="00181163"/>
    <w:rsid w:val="00184AC7"/>
    <w:rsid w:val="001853CA"/>
    <w:rsid w:val="00191769"/>
    <w:rsid w:val="00192871"/>
    <w:rsid w:val="00195541"/>
    <w:rsid w:val="001C7DBF"/>
    <w:rsid w:val="001D1845"/>
    <w:rsid w:val="001D2453"/>
    <w:rsid w:val="001D6284"/>
    <w:rsid w:val="00217F6A"/>
    <w:rsid w:val="0022595A"/>
    <w:rsid w:val="00261223"/>
    <w:rsid w:val="00262A3A"/>
    <w:rsid w:val="00281800"/>
    <w:rsid w:val="002C6318"/>
    <w:rsid w:val="002D2063"/>
    <w:rsid w:val="002D2A47"/>
    <w:rsid w:val="003003BA"/>
    <w:rsid w:val="00321E1A"/>
    <w:rsid w:val="003317C1"/>
    <w:rsid w:val="003412C6"/>
    <w:rsid w:val="00347286"/>
    <w:rsid w:val="00351634"/>
    <w:rsid w:val="00363B99"/>
    <w:rsid w:val="00370789"/>
    <w:rsid w:val="0037743E"/>
    <w:rsid w:val="00394F4B"/>
    <w:rsid w:val="00397E46"/>
    <w:rsid w:val="003A575A"/>
    <w:rsid w:val="003B2284"/>
    <w:rsid w:val="003C2B35"/>
    <w:rsid w:val="003C52DD"/>
    <w:rsid w:val="003D5C80"/>
    <w:rsid w:val="003E065F"/>
    <w:rsid w:val="00415108"/>
    <w:rsid w:val="00437AD8"/>
    <w:rsid w:val="00444F1C"/>
    <w:rsid w:val="00454B9D"/>
    <w:rsid w:val="004671C6"/>
    <w:rsid w:val="004A1546"/>
    <w:rsid w:val="004D6211"/>
    <w:rsid w:val="004E242F"/>
    <w:rsid w:val="004F2A1D"/>
    <w:rsid w:val="004F3D50"/>
    <w:rsid w:val="00506C77"/>
    <w:rsid w:val="00545B23"/>
    <w:rsid w:val="00550F35"/>
    <w:rsid w:val="005536BC"/>
    <w:rsid w:val="0056334B"/>
    <w:rsid w:val="00567A5B"/>
    <w:rsid w:val="00574C71"/>
    <w:rsid w:val="005779BE"/>
    <w:rsid w:val="00582B74"/>
    <w:rsid w:val="00584AD4"/>
    <w:rsid w:val="005909C8"/>
    <w:rsid w:val="005959F8"/>
    <w:rsid w:val="005A0B6D"/>
    <w:rsid w:val="005C1101"/>
    <w:rsid w:val="005E24F7"/>
    <w:rsid w:val="005F59FE"/>
    <w:rsid w:val="005F6709"/>
    <w:rsid w:val="00602EE2"/>
    <w:rsid w:val="00640F9B"/>
    <w:rsid w:val="00650748"/>
    <w:rsid w:val="006560C3"/>
    <w:rsid w:val="00662C6C"/>
    <w:rsid w:val="006845B5"/>
    <w:rsid w:val="006B129B"/>
    <w:rsid w:val="006B6012"/>
    <w:rsid w:val="006C58CD"/>
    <w:rsid w:val="006D1731"/>
    <w:rsid w:val="006D4389"/>
    <w:rsid w:val="006F69A8"/>
    <w:rsid w:val="00705910"/>
    <w:rsid w:val="00710114"/>
    <w:rsid w:val="00726540"/>
    <w:rsid w:val="007529D6"/>
    <w:rsid w:val="00761218"/>
    <w:rsid w:val="007811A0"/>
    <w:rsid w:val="0079341F"/>
    <w:rsid w:val="007A654D"/>
    <w:rsid w:val="007B1A5A"/>
    <w:rsid w:val="007B4853"/>
    <w:rsid w:val="007B51DC"/>
    <w:rsid w:val="007C3F2F"/>
    <w:rsid w:val="007D169D"/>
    <w:rsid w:val="007D1D1F"/>
    <w:rsid w:val="007D46FE"/>
    <w:rsid w:val="007D6306"/>
    <w:rsid w:val="007E7C17"/>
    <w:rsid w:val="007F29FF"/>
    <w:rsid w:val="007F3872"/>
    <w:rsid w:val="00801CB2"/>
    <w:rsid w:val="00824778"/>
    <w:rsid w:val="0083402C"/>
    <w:rsid w:val="00834599"/>
    <w:rsid w:val="008604D4"/>
    <w:rsid w:val="00867BE0"/>
    <w:rsid w:val="00873D86"/>
    <w:rsid w:val="00893963"/>
    <w:rsid w:val="00895135"/>
    <w:rsid w:val="008A01FD"/>
    <w:rsid w:val="008A1E81"/>
    <w:rsid w:val="008B5C39"/>
    <w:rsid w:val="008C77D7"/>
    <w:rsid w:val="008C7C65"/>
    <w:rsid w:val="008E7AD7"/>
    <w:rsid w:val="008F5E79"/>
    <w:rsid w:val="00901BBC"/>
    <w:rsid w:val="00904712"/>
    <w:rsid w:val="009070A7"/>
    <w:rsid w:val="009432AD"/>
    <w:rsid w:val="009506A6"/>
    <w:rsid w:val="00951450"/>
    <w:rsid w:val="00953136"/>
    <w:rsid w:val="00963151"/>
    <w:rsid w:val="00973EE7"/>
    <w:rsid w:val="00990355"/>
    <w:rsid w:val="00990E5D"/>
    <w:rsid w:val="00995D7B"/>
    <w:rsid w:val="00996CFB"/>
    <w:rsid w:val="009A0B49"/>
    <w:rsid w:val="009A133B"/>
    <w:rsid w:val="009A519A"/>
    <w:rsid w:val="009B15A2"/>
    <w:rsid w:val="009C5D88"/>
    <w:rsid w:val="009D1438"/>
    <w:rsid w:val="009E24BD"/>
    <w:rsid w:val="009E49C4"/>
    <w:rsid w:val="009E4F93"/>
    <w:rsid w:val="00A03980"/>
    <w:rsid w:val="00A040A1"/>
    <w:rsid w:val="00A045D8"/>
    <w:rsid w:val="00A06B28"/>
    <w:rsid w:val="00A07486"/>
    <w:rsid w:val="00A074D5"/>
    <w:rsid w:val="00A121E7"/>
    <w:rsid w:val="00A16148"/>
    <w:rsid w:val="00A41401"/>
    <w:rsid w:val="00A43ACB"/>
    <w:rsid w:val="00A45AC9"/>
    <w:rsid w:val="00A53E9B"/>
    <w:rsid w:val="00A713A1"/>
    <w:rsid w:val="00A71BAB"/>
    <w:rsid w:val="00AB1310"/>
    <w:rsid w:val="00AC3DBD"/>
    <w:rsid w:val="00AC6ED5"/>
    <w:rsid w:val="00AD0058"/>
    <w:rsid w:val="00AD2E19"/>
    <w:rsid w:val="00B15D17"/>
    <w:rsid w:val="00B216A3"/>
    <w:rsid w:val="00B229FB"/>
    <w:rsid w:val="00B419D8"/>
    <w:rsid w:val="00B41B88"/>
    <w:rsid w:val="00B75D5E"/>
    <w:rsid w:val="00B853BB"/>
    <w:rsid w:val="00BA141D"/>
    <w:rsid w:val="00BA3B18"/>
    <w:rsid w:val="00BB4C32"/>
    <w:rsid w:val="00BC1964"/>
    <w:rsid w:val="00BC32CA"/>
    <w:rsid w:val="00BC3D26"/>
    <w:rsid w:val="00BC515F"/>
    <w:rsid w:val="00BC6C9C"/>
    <w:rsid w:val="00BD7A8D"/>
    <w:rsid w:val="00BF7006"/>
    <w:rsid w:val="00BF7062"/>
    <w:rsid w:val="00C029EC"/>
    <w:rsid w:val="00C07952"/>
    <w:rsid w:val="00C07EEE"/>
    <w:rsid w:val="00C25C1E"/>
    <w:rsid w:val="00C37801"/>
    <w:rsid w:val="00C53798"/>
    <w:rsid w:val="00C61B9B"/>
    <w:rsid w:val="00C817C6"/>
    <w:rsid w:val="00CC5C82"/>
    <w:rsid w:val="00CD0C0D"/>
    <w:rsid w:val="00CD45D6"/>
    <w:rsid w:val="00D06C3B"/>
    <w:rsid w:val="00D339CD"/>
    <w:rsid w:val="00D550FB"/>
    <w:rsid w:val="00D55D09"/>
    <w:rsid w:val="00D60DD1"/>
    <w:rsid w:val="00D90A9E"/>
    <w:rsid w:val="00D91337"/>
    <w:rsid w:val="00D9457C"/>
    <w:rsid w:val="00DB5660"/>
    <w:rsid w:val="00DE51E0"/>
    <w:rsid w:val="00DE79DC"/>
    <w:rsid w:val="00DF131B"/>
    <w:rsid w:val="00E0061B"/>
    <w:rsid w:val="00E212BE"/>
    <w:rsid w:val="00E47E1F"/>
    <w:rsid w:val="00E572D7"/>
    <w:rsid w:val="00E71B6C"/>
    <w:rsid w:val="00EB1E89"/>
    <w:rsid w:val="00EC53EC"/>
    <w:rsid w:val="00EC74E3"/>
    <w:rsid w:val="00F0391E"/>
    <w:rsid w:val="00F03E9C"/>
    <w:rsid w:val="00F15E77"/>
    <w:rsid w:val="00F16244"/>
    <w:rsid w:val="00F1673C"/>
    <w:rsid w:val="00F26D2D"/>
    <w:rsid w:val="00F4797F"/>
    <w:rsid w:val="00F71334"/>
    <w:rsid w:val="00F80254"/>
    <w:rsid w:val="00FA3A04"/>
    <w:rsid w:val="00FA4B60"/>
    <w:rsid w:val="00FA7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paragraph" w:styleId="Subtitle">
    <w:name w:val="Subtitle"/>
    <w:basedOn w:val="Normal"/>
    <w:next w:val="Normal"/>
    <w:link w:val="SubtitleChar"/>
    <w:uiPriority w:val="11"/>
    <w:qFormat/>
    <w:rsid w:val="00A713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713A1"/>
    <w:rPr>
      <w:rFonts w:asciiTheme="majorHAnsi" w:eastAsiaTheme="majorEastAsia" w:hAnsiTheme="majorHAnsi" w:cstheme="majorBidi"/>
      <w:i/>
      <w:iCs/>
      <w:color w:val="4F81BD" w:themeColor="accent1"/>
      <w:spacing w:val="15"/>
      <w:sz w:val="24"/>
      <w:szCs w:val="24"/>
      <w:lang w:val="en-GB"/>
    </w:rPr>
  </w:style>
  <w:style w:type="paragraph" w:styleId="ListParagraph">
    <w:name w:val="List Paragraph"/>
    <w:basedOn w:val="Normal"/>
    <w:uiPriority w:val="34"/>
    <w:qFormat/>
    <w:rsid w:val="00F26D2D"/>
    <w:pPr>
      <w:ind w:left="720"/>
      <w:contextualSpacing/>
    </w:pPr>
  </w:style>
  <w:style w:type="table" w:styleId="TableGrid">
    <w:name w:val="Table Grid"/>
    <w:basedOn w:val="TableNormal"/>
    <w:uiPriority w:val="59"/>
    <w:rsid w:val="00A04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F&amp;WORKSHOPS\EVIAN\Evian2010\Driving_the_LH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3783-DED0-41E2-A1B2-0EED6AC8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Driving_the_LHC.dotm</Template>
  <TotalTime>10</TotalTime>
  <Pages>3</Pages>
  <Words>2220</Words>
  <Characters>10925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mpojer</dc:creator>
  <cp:lastModifiedBy>uythoven</cp:lastModifiedBy>
  <cp:revision>3</cp:revision>
  <cp:lastPrinted>2012-01-30T10:33:00Z</cp:lastPrinted>
  <dcterms:created xsi:type="dcterms:W3CDTF">2012-01-30T10:33:00Z</dcterms:created>
  <dcterms:modified xsi:type="dcterms:W3CDTF">2012-01-30T10:39:00Z</dcterms:modified>
</cp:coreProperties>
</file>