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49E2B53" w14:textId="77777777" w:rsidR="00801A6A" w:rsidRPr="00801A6A" w:rsidRDefault="00801A6A" w:rsidP="00801A6A">
      <w:pPr>
        <w:spacing w:before="100" w:beforeAutospacing="1" w:after="100" w:afterAutospacing="1" w:line="240" w:lineRule="auto"/>
        <w:jc w:val="center"/>
        <w:outlineLvl w:val="2"/>
        <w:rPr>
          <w:rFonts w:ascii="Arial" w:eastAsia="Times New Roman" w:hAnsi="Arial" w:cs="Arial"/>
          <w:b/>
          <w:bCs/>
          <w:sz w:val="24"/>
          <w:szCs w:val="24"/>
        </w:rPr>
      </w:pPr>
      <w:r w:rsidRPr="00034D3C">
        <w:rPr>
          <w:rFonts w:ascii="Arial" w:eastAsia="Times New Roman" w:hAnsi="Arial" w:cs="Arial"/>
          <w:b/>
          <w:bCs/>
          <w:sz w:val="24"/>
          <w:szCs w:val="24"/>
        </w:rPr>
        <w:t>P</w:t>
      </w:r>
      <w:r w:rsidRPr="00801A6A">
        <w:rPr>
          <w:rFonts w:ascii="Arial" w:eastAsia="Times New Roman" w:hAnsi="Arial" w:cs="Arial"/>
          <w:b/>
          <w:bCs/>
          <w:sz w:val="24"/>
          <w:szCs w:val="24"/>
        </w:rPr>
        <w:t>roject proposal to the MEDICIS Collaboration Board</w:t>
      </w:r>
    </w:p>
    <w:p w14:paraId="62F0CF10" w14:textId="77777777" w:rsidR="000C7E49" w:rsidRPr="000C7E49" w:rsidRDefault="000C7E49" w:rsidP="000C7E49">
      <w:pPr>
        <w:spacing w:after="0" w:line="240" w:lineRule="auto"/>
        <w:rPr>
          <w:rFonts w:eastAsia="Times New Roman" w:cstheme="minorHAnsi"/>
          <w:sz w:val="24"/>
          <w:szCs w:val="24"/>
        </w:rPr>
      </w:pPr>
    </w:p>
    <w:p w14:paraId="4B4496B1" w14:textId="77777777" w:rsidR="000C7E49" w:rsidRPr="00D023BB" w:rsidRDefault="000C7E49" w:rsidP="000C7E49">
      <w:pPr>
        <w:spacing w:after="0" w:line="240" w:lineRule="auto"/>
        <w:rPr>
          <w:rFonts w:ascii="Arial" w:eastAsia="Times New Roman" w:hAnsi="Arial" w:cs="Arial"/>
          <w:b/>
          <w:sz w:val="28"/>
          <w:szCs w:val="28"/>
        </w:rPr>
      </w:pPr>
      <w:r w:rsidRPr="00D023BB">
        <w:rPr>
          <w:rFonts w:ascii="Arial" w:eastAsia="Times New Roman" w:hAnsi="Arial" w:cs="Arial"/>
          <w:b/>
          <w:sz w:val="28"/>
          <w:szCs w:val="28"/>
        </w:rPr>
        <w:t>Pilot Clinical Study of Samarium-153-FAPI in Advanced Solid Tumors</w:t>
      </w:r>
    </w:p>
    <w:p w14:paraId="2155E423" w14:textId="77777777" w:rsidR="000C7E49" w:rsidRPr="00A47A2D" w:rsidRDefault="00A47A2D" w:rsidP="000C7E49">
      <w:pPr>
        <w:spacing w:after="0" w:line="240" w:lineRule="auto"/>
        <w:rPr>
          <w:rFonts w:eastAsia="Times New Roman" w:cstheme="minorHAnsi"/>
          <w:i/>
          <w:sz w:val="24"/>
          <w:szCs w:val="24"/>
        </w:rPr>
      </w:pPr>
      <w:r w:rsidRPr="00A47A2D">
        <w:rPr>
          <w:rFonts w:eastAsia="Times New Roman" w:cstheme="minorHAnsi"/>
          <w:i/>
          <w:sz w:val="24"/>
          <w:szCs w:val="24"/>
        </w:rPr>
        <w:t xml:space="preserve">Prof. Dr. Shabana Saeed, </w:t>
      </w:r>
      <w:r w:rsidR="000C7E49" w:rsidRPr="00A47A2D">
        <w:rPr>
          <w:rFonts w:eastAsia="Times New Roman" w:cstheme="minorHAnsi"/>
          <w:i/>
          <w:sz w:val="24"/>
          <w:szCs w:val="24"/>
        </w:rPr>
        <w:t>Dr. Qa</w:t>
      </w:r>
      <w:r w:rsidRPr="00A47A2D">
        <w:rPr>
          <w:rFonts w:eastAsia="Times New Roman" w:cstheme="minorHAnsi"/>
          <w:i/>
          <w:sz w:val="24"/>
          <w:szCs w:val="24"/>
        </w:rPr>
        <w:t xml:space="preserve">iser Khan, </w:t>
      </w:r>
      <w:r w:rsidR="000C7E49" w:rsidRPr="00A47A2D">
        <w:rPr>
          <w:rFonts w:eastAsia="Times New Roman" w:cstheme="minorHAnsi"/>
          <w:i/>
          <w:sz w:val="24"/>
          <w:szCs w:val="24"/>
        </w:rPr>
        <w:t>Dr. Naseer Ahmad</w:t>
      </w:r>
      <w:r w:rsidRPr="00A47A2D">
        <w:rPr>
          <w:rFonts w:eastAsia="Times New Roman" w:cstheme="minorHAnsi"/>
          <w:i/>
          <w:sz w:val="24"/>
          <w:szCs w:val="24"/>
        </w:rPr>
        <w:t>, Dr. Saif ur Rehman,</w:t>
      </w:r>
      <w:r w:rsidR="000C7E49" w:rsidRPr="00A47A2D">
        <w:rPr>
          <w:rFonts w:eastAsia="Times New Roman" w:cstheme="minorHAnsi"/>
          <w:i/>
          <w:sz w:val="24"/>
          <w:szCs w:val="24"/>
        </w:rPr>
        <w:t xml:space="preserve"> Dr. Asif Rafique</w:t>
      </w:r>
    </w:p>
    <w:p w14:paraId="771DD267" w14:textId="77777777" w:rsidR="000C7E49" w:rsidRPr="00A47A2D" w:rsidRDefault="000C7E49" w:rsidP="000C7E49">
      <w:pPr>
        <w:spacing w:after="0" w:line="240" w:lineRule="auto"/>
        <w:rPr>
          <w:rFonts w:eastAsia="Times New Roman" w:cstheme="minorHAnsi"/>
          <w:i/>
          <w:sz w:val="24"/>
          <w:szCs w:val="24"/>
        </w:rPr>
      </w:pPr>
      <w:r w:rsidRPr="00A47A2D">
        <w:rPr>
          <w:rFonts w:eastAsia="Times New Roman" w:cstheme="minorHAnsi"/>
          <w:i/>
          <w:sz w:val="24"/>
          <w:szCs w:val="24"/>
        </w:rPr>
        <w:t xml:space="preserve">Collaborating Institutions: NORI, PINSTECH, PIEAS </w:t>
      </w:r>
    </w:p>
    <w:p w14:paraId="4E1DA264" w14:textId="77777777" w:rsidR="000C7E49" w:rsidRPr="00A47A2D" w:rsidRDefault="000C7E49" w:rsidP="000C7E49">
      <w:pPr>
        <w:spacing w:after="0" w:line="240" w:lineRule="auto"/>
        <w:rPr>
          <w:rFonts w:eastAsia="Times New Roman" w:cstheme="minorHAnsi"/>
          <w:i/>
          <w:sz w:val="16"/>
          <w:szCs w:val="16"/>
        </w:rPr>
      </w:pPr>
    </w:p>
    <w:p w14:paraId="61EBC299" w14:textId="77777777" w:rsidR="00A47A2D" w:rsidRPr="00801A6A" w:rsidRDefault="00A47A2D" w:rsidP="00A47A2D">
      <w:pPr>
        <w:spacing w:after="0" w:line="240" w:lineRule="auto"/>
        <w:outlineLvl w:val="2"/>
        <w:rPr>
          <w:rFonts w:ascii="Arial" w:hAnsi="Arial" w:cs="Arial"/>
          <w:b/>
          <w:bCs/>
          <w:color w:val="000000"/>
          <w:sz w:val="24"/>
          <w:szCs w:val="24"/>
        </w:rPr>
      </w:pPr>
      <w:r w:rsidRPr="00801A6A">
        <w:rPr>
          <w:rFonts w:ascii="Arial" w:hAnsi="Arial" w:cs="Arial"/>
          <w:b/>
          <w:bCs/>
          <w:color w:val="000000"/>
          <w:sz w:val="24"/>
          <w:szCs w:val="24"/>
        </w:rPr>
        <w:t>Introduction &amp; background</w:t>
      </w:r>
      <w:r w:rsidRPr="00034D3C">
        <w:rPr>
          <w:rFonts w:ascii="Arial" w:hAnsi="Arial" w:cs="Arial"/>
          <w:b/>
          <w:bCs/>
          <w:color w:val="000000"/>
          <w:sz w:val="24"/>
          <w:szCs w:val="24"/>
        </w:rPr>
        <w:t xml:space="preserve">:  </w:t>
      </w:r>
      <w:r w:rsidRPr="00034D3C">
        <w:rPr>
          <w:rFonts w:ascii="Arial" w:hAnsi="Arial" w:cs="Arial"/>
          <w:bCs/>
          <w:color w:val="000000"/>
          <w:sz w:val="24"/>
          <w:szCs w:val="24"/>
        </w:rPr>
        <w:t>(</w:t>
      </w:r>
      <w:r w:rsidRPr="00034D3C">
        <w:rPr>
          <w:rFonts w:ascii="Arial" w:hAnsi="Arial" w:cs="Arial"/>
          <w:bCs/>
          <w:color w:val="000000"/>
        </w:rPr>
        <w:t>state of the art and goal/motivation for the project)</w:t>
      </w:r>
    </w:p>
    <w:p w14:paraId="2C95537B" w14:textId="77777777" w:rsidR="000C7E49" w:rsidRPr="00A47A2D" w:rsidRDefault="000C7E49" w:rsidP="00A47A2D">
      <w:pPr>
        <w:spacing w:after="0" w:line="240" w:lineRule="auto"/>
        <w:rPr>
          <w:rFonts w:eastAsia="Times New Roman" w:cstheme="minorHAnsi"/>
          <w:sz w:val="16"/>
          <w:szCs w:val="16"/>
        </w:rPr>
      </w:pPr>
    </w:p>
    <w:p w14:paraId="77B05EBC" w14:textId="77777777" w:rsidR="00801A6A" w:rsidRDefault="000C7E49" w:rsidP="00A47A2D">
      <w:pPr>
        <w:spacing w:after="0" w:line="240" w:lineRule="auto"/>
        <w:jc w:val="both"/>
        <w:rPr>
          <w:rFonts w:eastAsia="Times New Roman" w:cstheme="minorHAnsi"/>
          <w:sz w:val="24"/>
          <w:szCs w:val="24"/>
        </w:rPr>
      </w:pPr>
      <w:r w:rsidRPr="000C7E49">
        <w:rPr>
          <w:rFonts w:eastAsia="Times New Roman" w:cstheme="minorHAnsi"/>
          <w:sz w:val="24"/>
          <w:szCs w:val="24"/>
        </w:rPr>
        <w:t>New radio</w:t>
      </w:r>
      <w:r w:rsidR="00A47A2D">
        <w:rPr>
          <w:rFonts w:eastAsia="Times New Roman" w:cstheme="minorHAnsi"/>
          <w:sz w:val="24"/>
          <w:szCs w:val="24"/>
        </w:rPr>
        <w:t>-</w:t>
      </w:r>
      <w:r w:rsidRPr="000C7E49">
        <w:rPr>
          <w:rFonts w:eastAsia="Times New Roman" w:cstheme="minorHAnsi"/>
          <w:sz w:val="24"/>
          <w:szCs w:val="24"/>
        </w:rPr>
        <w:t>bioconjugates targeting fibroblast activation protein (FAP), which is overexpressed in several malignancies, have been developed and have demonstrated significant promise in both preclinical and early clinical studies. These agents represent a new gene</w:t>
      </w:r>
      <w:r>
        <w:rPr>
          <w:rFonts w:eastAsia="Times New Roman" w:cstheme="minorHAnsi"/>
          <w:sz w:val="24"/>
          <w:szCs w:val="24"/>
        </w:rPr>
        <w:t xml:space="preserve">ration of radiopharmaceuticals . </w:t>
      </w:r>
      <w:r w:rsidRPr="000C7E49">
        <w:rPr>
          <w:rFonts w:eastAsia="Times New Roman" w:cstheme="minorHAnsi"/>
          <w:sz w:val="24"/>
          <w:szCs w:val="24"/>
        </w:rPr>
        <w:t>Studies with FAPI-04 have confirmed rapid and specific tumor uptake, fast renal clearance, and relatively short tumor retention, suggesting the need for radionuclides better suited than ⁹⁰Y or ¹⁷⁷Lu — ideally with shorter physical half-life and favorable beta and gamma emissions for theranostic applications.</w:t>
      </w:r>
      <w:r>
        <w:rPr>
          <w:rFonts w:eastAsia="Times New Roman" w:cstheme="minorHAnsi"/>
          <w:sz w:val="24"/>
          <w:szCs w:val="24"/>
        </w:rPr>
        <w:t xml:space="preserve"> </w:t>
      </w:r>
      <w:r w:rsidRPr="000C7E49">
        <w:rPr>
          <w:rFonts w:eastAsia="Times New Roman" w:cstheme="minorHAnsi"/>
          <w:sz w:val="24"/>
          <w:szCs w:val="24"/>
        </w:rPr>
        <w:t>In this context, a first-in-human pilot study in Heidelberg used low molar acti</w:t>
      </w:r>
      <w:r>
        <w:rPr>
          <w:rFonts w:eastAsia="Times New Roman" w:cstheme="minorHAnsi"/>
          <w:sz w:val="24"/>
          <w:szCs w:val="24"/>
        </w:rPr>
        <w:t xml:space="preserve">vity (LMA) Samarium-153-FAPI-46. Sm-153 has the </w:t>
      </w:r>
      <w:r w:rsidRPr="000C7E49">
        <w:rPr>
          <w:rFonts w:eastAsia="Times New Roman" w:cstheme="minorHAnsi"/>
          <w:sz w:val="24"/>
          <w:szCs w:val="24"/>
        </w:rPr>
        <w:t xml:space="preserve">advantage of </w:t>
      </w:r>
      <w:r>
        <w:rPr>
          <w:rFonts w:eastAsia="Times New Roman" w:cstheme="minorHAnsi"/>
          <w:sz w:val="24"/>
          <w:szCs w:val="24"/>
        </w:rPr>
        <w:t xml:space="preserve">favourable </w:t>
      </w:r>
      <w:r w:rsidRPr="000C7E49">
        <w:rPr>
          <w:rFonts w:eastAsia="Times New Roman" w:cstheme="minorHAnsi"/>
          <w:sz w:val="24"/>
          <w:szCs w:val="24"/>
        </w:rPr>
        <w:t>physical properties (t½ = 46.8 h; Eβ(avg) = 225 keV; Eβ(max) = 806 keV; Eγ = 103 keV), which make it an attractive radionuclide for both imaging and therapy. Samarium-153 in its LMA form is already well-established for bone pain palliation as ¹⁵³Sm-EDTMP (Quadramet®) in advanced cancers with skeletal metastases. Historically, its use in other tumor types was limited by the reactor-based production route yielding low specific activity.</w:t>
      </w:r>
      <w:r>
        <w:rPr>
          <w:rFonts w:eastAsia="Times New Roman" w:cstheme="minorHAnsi"/>
          <w:sz w:val="24"/>
          <w:szCs w:val="24"/>
        </w:rPr>
        <w:t xml:space="preserve"> Moreover</w:t>
      </w:r>
      <w:r w:rsidRPr="000C7E49">
        <w:rPr>
          <w:rFonts w:eastAsia="Times New Roman" w:cstheme="minorHAnsi"/>
          <w:sz w:val="24"/>
          <w:szCs w:val="24"/>
        </w:rPr>
        <w:t>, preliminary data presented at Nuklearmedizin-2022 (D-A-CH Nuclear Medicine Congress) indicated that receptor saturation due to low specific activity may limit therapeutic efficacy.</w:t>
      </w:r>
      <w:r>
        <w:rPr>
          <w:rFonts w:eastAsia="Times New Roman" w:cstheme="minorHAnsi"/>
          <w:sz w:val="24"/>
          <w:szCs w:val="24"/>
        </w:rPr>
        <w:t xml:space="preserve">  </w:t>
      </w:r>
      <w:r w:rsidRPr="000C7E49">
        <w:rPr>
          <w:rFonts w:eastAsia="Times New Roman" w:cstheme="minorHAnsi"/>
          <w:sz w:val="24"/>
          <w:szCs w:val="24"/>
        </w:rPr>
        <w:t>Recent progress under the MED-025 project demonstrated the feasibility of synthesizing high molar activity (HMA) ¹⁵³Sm-DOTATATE via reactor activation followed by mass separation, confirming its suitability for imaging, dosimetry, and therapy in neuroendocrine tumor models.</w:t>
      </w:r>
      <w:r>
        <w:rPr>
          <w:rFonts w:eastAsia="Times New Roman" w:cstheme="minorHAnsi"/>
          <w:sz w:val="24"/>
          <w:szCs w:val="24"/>
        </w:rPr>
        <w:t xml:space="preserve"> </w:t>
      </w:r>
      <w:r w:rsidRPr="000C7E49">
        <w:rPr>
          <w:rFonts w:eastAsia="Times New Roman" w:cstheme="minorHAnsi"/>
          <w:sz w:val="24"/>
          <w:szCs w:val="24"/>
        </w:rPr>
        <w:t>These advancements highlight the potential of HMA ¹⁵³Sm-FAPI-46 as a promising theranostic agent warranting further investigation in terms of imaging contrast, biokinetics, and therapeutic efficacy in human subjects.</w:t>
      </w:r>
      <w:r>
        <w:rPr>
          <w:rFonts w:eastAsia="Times New Roman" w:cstheme="minorHAnsi"/>
          <w:sz w:val="24"/>
          <w:szCs w:val="24"/>
        </w:rPr>
        <w:t xml:space="preserve"> </w:t>
      </w:r>
      <w:r w:rsidRPr="000C7E49">
        <w:rPr>
          <w:rFonts w:eastAsia="Times New Roman" w:cstheme="minorHAnsi"/>
          <w:sz w:val="24"/>
          <w:szCs w:val="24"/>
        </w:rPr>
        <w:t>Fibroblast activation protein (FAP) is highly expressed in the tumor stroma of many epithelial and mesenchymal malignancies, including breast, pancreatic, colorectal, head and neck, and sarcomas. FAPI-based radiopharmaceuticals have enabled rapid tumor imaging with excellent tumor-to-background ratios and are now being explored for therapy.</w:t>
      </w:r>
      <w:r>
        <w:rPr>
          <w:rFonts w:eastAsia="Times New Roman" w:cstheme="minorHAnsi"/>
          <w:sz w:val="24"/>
          <w:szCs w:val="24"/>
        </w:rPr>
        <w:t xml:space="preserve"> </w:t>
      </w:r>
      <w:r w:rsidRPr="000C7E49">
        <w:rPr>
          <w:rFonts w:eastAsia="Times New Roman" w:cstheme="minorHAnsi"/>
          <w:sz w:val="24"/>
          <w:szCs w:val="24"/>
        </w:rPr>
        <w:t xml:space="preserve">Sm-153 has a proven safety record in bone pain palliation, its linkage with FAPI ligands for solid tumor therapy has not yet been </w:t>
      </w:r>
      <w:r>
        <w:rPr>
          <w:rFonts w:eastAsia="Times New Roman" w:cstheme="minorHAnsi"/>
          <w:sz w:val="24"/>
          <w:szCs w:val="24"/>
        </w:rPr>
        <w:t xml:space="preserve">clinically explored in Pakistan, where the cancer is the main cause of high rate of mortality and morbidity. Perusing novel methods for the management of cancer is the need of the hour.  </w:t>
      </w:r>
      <w:r w:rsidRPr="000C7E49">
        <w:rPr>
          <w:rFonts w:eastAsia="Times New Roman" w:cstheme="minorHAnsi"/>
          <w:sz w:val="24"/>
          <w:szCs w:val="24"/>
        </w:rPr>
        <w:t xml:space="preserve"> </w:t>
      </w:r>
      <w:r w:rsidR="00F33E92" w:rsidRPr="00F33E92">
        <w:rPr>
          <w:rFonts w:eastAsia="Times New Roman" w:cstheme="minorHAnsi"/>
          <w:sz w:val="24"/>
          <w:szCs w:val="24"/>
        </w:rPr>
        <w:t>Labelling of FAPI with Tc-99m and lu-177 has bee</w:t>
      </w:r>
      <w:r w:rsidR="00F33E92">
        <w:rPr>
          <w:rFonts w:eastAsia="Times New Roman" w:cstheme="minorHAnsi"/>
          <w:sz w:val="24"/>
          <w:szCs w:val="24"/>
        </w:rPr>
        <w:t xml:space="preserve">n done successfully at PINSTECH on R &amp; D basis. </w:t>
      </w:r>
      <w:r w:rsidRPr="000C7E49">
        <w:rPr>
          <w:rFonts w:eastAsia="Times New Roman" w:cstheme="minorHAnsi"/>
          <w:sz w:val="24"/>
          <w:szCs w:val="24"/>
        </w:rPr>
        <w:t xml:space="preserve">Establishing local production, radiolabeling, and preliminary clinical evaluation will build national capacity in FAPI theranostics and prepare for subsequent comparative or </w:t>
      </w:r>
      <w:r w:rsidR="00A47A2D" w:rsidRPr="000C7E49">
        <w:rPr>
          <w:rFonts w:eastAsia="Times New Roman" w:cstheme="minorHAnsi"/>
          <w:sz w:val="24"/>
          <w:szCs w:val="24"/>
        </w:rPr>
        <w:t>multicenter</w:t>
      </w:r>
      <w:r w:rsidRPr="000C7E49">
        <w:rPr>
          <w:rFonts w:eastAsia="Times New Roman" w:cstheme="minorHAnsi"/>
          <w:sz w:val="24"/>
          <w:szCs w:val="24"/>
        </w:rPr>
        <w:t xml:space="preserve"> studies.</w:t>
      </w:r>
      <w:r>
        <w:rPr>
          <w:rFonts w:eastAsia="Times New Roman" w:cstheme="minorHAnsi"/>
          <w:sz w:val="24"/>
          <w:szCs w:val="24"/>
        </w:rPr>
        <w:t xml:space="preserve"> </w:t>
      </w:r>
      <w:r w:rsidR="00A47A2D">
        <w:rPr>
          <w:rFonts w:eastAsia="Times New Roman" w:cstheme="minorHAnsi"/>
          <w:sz w:val="24"/>
          <w:szCs w:val="24"/>
        </w:rPr>
        <w:t>Moreover</w:t>
      </w:r>
      <w:r>
        <w:rPr>
          <w:rFonts w:eastAsia="Times New Roman" w:cstheme="minorHAnsi"/>
          <w:sz w:val="24"/>
          <w:szCs w:val="24"/>
        </w:rPr>
        <w:t xml:space="preserve">, a similar project is underway in </w:t>
      </w:r>
      <w:r w:rsidRPr="000C7E49">
        <w:rPr>
          <w:rFonts w:eastAsia="Times New Roman" w:cstheme="minorHAnsi"/>
          <w:sz w:val="24"/>
          <w:szCs w:val="24"/>
        </w:rPr>
        <w:t>University Hospital Heidelberg</w:t>
      </w:r>
      <w:r>
        <w:rPr>
          <w:rFonts w:eastAsia="Times New Roman" w:cstheme="minorHAnsi"/>
          <w:sz w:val="24"/>
          <w:szCs w:val="24"/>
        </w:rPr>
        <w:t xml:space="preserve"> with the help of MEDICIS, CERN. </w:t>
      </w:r>
      <w:r w:rsidR="00A47A2D">
        <w:rPr>
          <w:rFonts w:eastAsia="Times New Roman" w:cstheme="minorHAnsi"/>
          <w:sz w:val="24"/>
          <w:szCs w:val="24"/>
        </w:rPr>
        <w:t xml:space="preserve">The results of Heidelburg project may be compared with our results. </w:t>
      </w:r>
    </w:p>
    <w:p w14:paraId="442F5652" w14:textId="77777777" w:rsidR="00A47A2D" w:rsidRDefault="00A47A2D" w:rsidP="000C7E49">
      <w:pPr>
        <w:spacing w:after="0" w:line="240" w:lineRule="auto"/>
        <w:jc w:val="both"/>
        <w:rPr>
          <w:rFonts w:eastAsia="Times New Roman" w:cstheme="minorHAnsi"/>
          <w:sz w:val="24"/>
          <w:szCs w:val="24"/>
        </w:rPr>
      </w:pPr>
    </w:p>
    <w:p w14:paraId="670F6393" w14:textId="77777777" w:rsidR="00A47A2D" w:rsidRDefault="00A47A2D" w:rsidP="000C7E49">
      <w:pPr>
        <w:spacing w:after="0" w:line="240" w:lineRule="auto"/>
        <w:jc w:val="both"/>
        <w:rPr>
          <w:rFonts w:eastAsia="Times New Roman" w:cstheme="minorHAnsi"/>
          <w:sz w:val="24"/>
          <w:szCs w:val="24"/>
        </w:rPr>
      </w:pPr>
    </w:p>
    <w:p w14:paraId="546BEBCC" w14:textId="77777777" w:rsidR="00801A6A" w:rsidRDefault="00801A6A" w:rsidP="003C4778">
      <w:pPr>
        <w:spacing w:after="0" w:line="240" w:lineRule="auto"/>
        <w:jc w:val="both"/>
        <w:outlineLvl w:val="2"/>
        <w:rPr>
          <w:rFonts w:ascii="Arial" w:hAnsi="Arial" w:cs="Arial"/>
          <w:b/>
          <w:bCs/>
          <w:color w:val="000000"/>
          <w:sz w:val="24"/>
          <w:szCs w:val="24"/>
        </w:rPr>
      </w:pPr>
      <w:r w:rsidRPr="00801A6A">
        <w:rPr>
          <w:rFonts w:ascii="Arial" w:hAnsi="Arial" w:cs="Arial"/>
          <w:b/>
          <w:bCs/>
          <w:color w:val="000000"/>
          <w:sz w:val="24"/>
          <w:szCs w:val="24"/>
        </w:rPr>
        <w:t>Project description</w:t>
      </w:r>
    </w:p>
    <w:p w14:paraId="4B41D271" w14:textId="77777777" w:rsidR="00F33E92" w:rsidRDefault="00F33E92" w:rsidP="003C4778">
      <w:pPr>
        <w:pStyle w:val="NormalWeb"/>
        <w:spacing w:before="0" w:beforeAutospacing="0" w:after="0" w:afterAutospacing="0"/>
        <w:jc w:val="both"/>
      </w:pPr>
      <w:r>
        <w:t xml:space="preserve">Single-center, open-label </w:t>
      </w:r>
      <w:r>
        <w:rPr>
          <w:rStyle w:val="Strong"/>
        </w:rPr>
        <w:t>pilot study at NORI</w:t>
      </w:r>
      <w:r>
        <w:t xml:space="preserve"> with </w:t>
      </w:r>
      <w:r>
        <w:rPr>
          <w:rStyle w:val="Strong"/>
        </w:rPr>
        <w:t>up to 10 patients</w:t>
      </w:r>
      <w:r w:rsidR="004D7774">
        <w:rPr>
          <w:rStyle w:val="Strong"/>
        </w:rPr>
        <w:t xml:space="preserve"> </w:t>
      </w:r>
      <w:r>
        <w:t xml:space="preserve">having histologically confirmed advanced solid tumor (breast, colorectal, </w:t>
      </w:r>
      <w:r w:rsidR="004D7774">
        <w:t>and</w:t>
      </w:r>
      <w:r>
        <w:t xml:space="preserve"> sarcoma, etc.)</w:t>
      </w:r>
      <w:r w:rsidR="004D7774">
        <w:t xml:space="preserve"> with p</w:t>
      </w:r>
      <w:r>
        <w:t>rogressive or metastatic disease unsuitable for curative therapy</w:t>
      </w:r>
      <w:r w:rsidR="004D7774">
        <w:t xml:space="preserve"> and those who have d</w:t>
      </w:r>
      <w:r>
        <w:t>emonstrated uptake on ⁶⁸Ga-FAPI PET/CT or equivalent</w:t>
      </w:r>
      <w:r w:rsidR="004D7774">
        <w:t xml:space="preserve"> </w:t>
      </w:r>
    </w:p>
    <w:p w14:paraId="37331104" w14:textId="77777777" w:rsidR="00F33E92" w:rsidRPr="00F33E92" w:rsidRDefault="00F33E92" w:rsidP="003C4778">
      <w:pPr>
        <w:pStyle w:val="NormalWeb"/>
        <w:spacing w:before="0" w:beforeAutospacing="0" w:after="0" w:afterAutospacing="0"/>
        <w:jc w:val="both"/>
        <w:rPr>
          <w:i/>
        </w:rPr>
      </w:pPr>
      <w:r w:rsidRPr="00F33E92">
        <w:rPr>
          <w:rStyle w:val="Strong"/>
          <w:i/>
        </w:rPr>
        <w:t>Objectives:</w:t>
      </w:r>
    </w:p>
    <w:p w14:paraId="3D20A9BC" w14:textId="77777777" w:rsidR="00F33E92" w:rsidRDefault="00F33E92" w:rsidP="003C4778">
      <w:pPr>
        <w:pStyle w:val="NormalWeb"/>
        <w:numPr>
          <w:ilvl w:val="0"/>
          <w:numId w:val="12"/>
        </w:numPr>
        <w:spacing w:before="0" w:beforeAutospacing="0" w:after="0" w:afterAutospacing="0"/>
        <w:jc w:val="both"/>
      </w:pPr>
      <w:r>
        <w:rPr>
          <w:rStyle w:val="Strong"/>
        </w:rPr>
        <w:t>Safety:</w:t>
      </w:r>
      <w:r>
        <w:t xml:space="preserve"> Assess acute and delayed adverse effects of Sm-153-FAPI.</w:t>
      </w:r>
    </w:p>
    <w:p w14:paraId="291C5EA0" w14:textId="77777777" w:rsidR="00F33E92" w:rsidRDefault="00F33E92" w:rsidP="003C4778">
      <w:pPr>
        <w:pStyle w:val="NormalWeb"/>
        <w:numPr>
          <w:ilvl w:val="0"/>
          <w:numId w:val="12"/>
        </w:numPr>
        <w:jc w:val="both"/>
      </w:pPr>
      <w:r>
        <w:rPr>
          <w:rStyle w:val="Strong"/>
        </w:rPr>
        <w:t>Biodistribution &amp; Dosimetry:</w:t>
      </w:r>
      <w:r>
        <w:t xml:space="preserve"> Measure organ and tumor absorbed doses using post-therapy imaging.</w:t>
      </w:r>
    </w:p>
    <w:p w14:paraId="4066E4FC" w14:textId="77777777" w:rsidR="00F33E92" w:rsidRDefault="00F33E92" w:rsidP="003C4778">
      <w:pPr>
        <w:pStyle w:val="NormalWeb"/>
        <w:numPr>
          <w:ilvl w:val="0"/>
          <w:numId w:val="12"/>
        </w:numPr>
        <w:spacing w:before="0" w:beforeAutospacing="0" w:after="0" w:afterAutospacing="0"/>
        <w:jc w:val="both"/>
      </w:pPr>
      <w:r>
        <w:rPr>
          <w:rStyle w:val="Strong"/>
        </w:rPr>
        <w:t>Therapeutic Response:</w:t>
      </w:r>
      <w:r>
        <w:t xml:space="preserve"> Evaluate symptomatic relief, tumor control, and biochemical or imaging response (per RECIST 1.1 where applicable).</w:t>
      </w:r>
    </w:p>
    <w:p w14:paraId="466B6E9D" w14:textId="77777777" w:rsidR="004D7774" w:rsidRPr="004D7774" w:rsidRDefault="004D7774" w:rsidP="003C4778">
      <w:pPr>
        <w:pStyle w:val="NormalWeb"/>
        <w:spacing w:before="0" w:beforeAutospacing="0" w:after="0" w:afterAutospacing="0"/>
        <w:ind w:left="720"/>
        <w:jc w:val="both"/>
        <w:rPr>
          <w:sz w:val="16"/>
          <w:szCs w:val="16"/>
        </w:rPr>
      </w:pPr>
    </w:p>
    <w:p w14:paraId="227F596D" w14:textId="77777777" w:rsidR="00F33E92" w:rsidRDefault="00F33E92" w:rsidP="003C4778">
      <w:pPr>
        <w:pStyle w:val="NormalWeb"/>
        <w:spacing w:before="0" w:beforeAutospacing="0" w:after="0" w:afterAutospacing="0"/>
        <w:jc w:val="both"/>
      </w:pPr>
      <w:r>
        <w:t xml:space="preserve">Each patient will receive </w:t>
      </w:r>
      <w:r w:rsidRPr="00ED0264">
        <w:rPr>
          <w:rStyle w:val="Strong"/>
          <w:b w:val="0"/>
        </w:rPr>
        <w:t>¹⁵³Sm-FAPI (37–74 MBq/kg)</w:t>
      </w:r>
      <w:r>
        <w:t xml:space="preserve"> intravenously, with a maximum total activity of 2.5 GBq. Retreatment may be offered after 8–12 weeks based on response and safety.</w:t>
      </w:r>
    </w:p>
    <w:p w14:paraId="0A965CA7" w14:textId="77777777" w:rsidR="00F33E92" w:rsidRPr="004D7774" w:rsidRDefault="00F33E92" w:rsidP="003C4778">
      <w:pPr>
        <w:pStyle w:val="NormalWeb"/>
        <w:spacing w:before="0" w:beforeAutospacing="0" w:after="0" w:afterAutospacing="0"/>
        <w:jc w:val="both"/>
        <w:rPr>
          <w:i/>
        </w:rPr>
      </w:pPr>
      <w:r w:rsidRPr="004D7774">
        <w:rPr>
          <w:rStyle w:val="Strong"/>
          <w:i/>
        </w:rPr>
        <w:t>Assessments:</w:t>
      </w:r>
    </w:p>
    <w:p w14:paraId="456D3308" w14:textId="77777777" w:rsidR="00F33E92" w:rsidRDefault="00F33E92" w:rsidP="003C4778">
      <w:pPr>
        <w:pStyle w:val="NormalWeb"/>
        <w:numPr>
          <w:ilvl w:val="0"/>
          <w:numId w:val="14"/>
        </w:numPr>
        <w:spacing w:before="0" w:beforeAutospacing="0" w:after="0" w:afterAutospacing="0"/>
        <w:jc w:val="both"/>
      </w:pPr>
      <w:r>
        <w:t>Clinical evaluation and lab tests (hematology, renal, liver function) at baseline and follow-up (days 2, 7, 28).</w:t>
      </w:r>
    </w:p>
    <w:p w14:paraId="094B94DF" w14:textId="77777777" w:rsidR="00F33E92" w:rsidRDefault="00F33E92" w:rsidP="003C4778">
      <w:pPr>
        <w:pStyle w:val="NormalWeb"/>
        <w:numPr>
          <w:ilvl w:val="0"/>
          <w:numId w:val="14"/>
        </w:numPr>
        <w:jc w:val="both"/>
      </w:pPr>
      <w:r>
        <w:t>Whole-body and SPECT imaging at 1–2 h, 6 h, 24 h, and 48 h post-injection for biodistribution and dosimetry.</w:t>
      </w:r>
    </w:p>
    <w:p w14:paraId="339AF61F" w14:textId="77777777" w:rsidR="00F33E92" w:rsidRDefault="00F33E92" w:rsidP="003C4778">
      <w:pPr>
        <w:pStyle w:val="NormalWeb"/>
        <w:numPr>
          <w:ilvl w:val="0"/>
          <w:numId w:val="14"/>
        </w:numPr>
        <w:jc w:val="both"/>
      </w:pPr>
      <w:r>
        <w:t>Adverse events graded per CTCAE v5.0.</w:t>
      </w:r>
    </w:p>
    <w:p w14:paraId="5AE0C533" w14:textId="77777777" w:rsidR="00F33E92" w:rsidRDefault="00F33E92" w:rsidP="003C4778">
      <w:pPr>
        <w:pStyle w:val="NormalWeb"/>
        <w:numPr>
          <w:ilvl w:val="0"/>
          <w:numId w:val="14"/>
        </w:numPr>
        <w:jc w:val="both"/>
      </w:pPr>
      <w:r>
        <w:t>Tumor response evaluated by RECIST 1.1 or functional imaging.</w:t>
      </w:r>
    </w:p>
    <w:p w14:paraId="7BFA095E" w14:textId="77777777" w:rsidR="00801A6A" w:rsidRDefault="00D17DCB" w:rsidP="003C4778">
      <w:pPr>
        <w:spacing w:after="0" w:line="240" w:lineRule="auto"/>
        <w:jc w:val="both"/>
        <w:outlineLvl w:val="2"/>
        <w:rPr>
          <w:rFonts w:ascii="Arial" w:hAnsi="Arial" w:cs="Arial"/>
          <w:bCs/>
          <w:color w:val="000000"/>
        </w:rPr>
      </w:pPr>
      <w:r w:rsidRPr="00034D3C">
        <w:rPr>
          <w:rFonts w:ascii="Arial" w:hAnsi="Arial" w:cs="Arial"/>
          <w:b/>
          <w:bCs/>
          <w:color w:val="000000"/>
          <w:sz w:val="24"/>
          <w:szCs w:val="24"/>
        </w:rPr>
        <w:t>Materials and Methods</w:t>
      </w:r>
      <w:r w:rsidRPr="00034D3C">
        <w:rPr>
          <w:rFonts w:ascii="Arial" w:hAnsi="Arial" w:cs="Arial"/>
          <w:bCs/>
          <w:color w:val="000000"/>
          <w:sz w:val="24"/>
          <w:szCs w:val="24"/>
        </w:rPr>
        <w:t xml:space="preserve">: </w:t>
      </w:r>
      <w:r w:rsidRPr="00034D3C">
        <w:rPr>
          <w:rFonts w:ascii="Arial" w:hAnsi="Arial" w:cs="Arial"/>
          <w:bCs/>
          <w:color w:val="000000"/>
        </w:rPr>
        <w:t>(planned experiments, where, licenses for radioisotopestimeline)</w:t>
      </w:r>
    </w:p>
    <w:p w14:paraId="4246652B" w14:textId="77777777" w:rsidR="00CC1539" w:rsidRPr="00CC1539" w:rsidRDefault="00CC1539" w:rsidP="003C4778">
      <w:pPr>
        <w:spacing w:after="0" w:line="240" w:lineRule="auto"/>
        <w:jc w:val="both"/>
        <w:outlineLvl w:val="2"/>
        <w:rPr>
          <w:rFonts w:ascii="Arial" w:hAnsi="Arial" w:cs="Arial"/>
          <w:bCs/>
          <w:color w:val="000000"/>
          <w:sz w:val="16"/>
          <w:szCs w:val="16"/>
        </w:rPr>
      </w:pPr>
    </w:p>
    <w:p w14:paraId="21A3EC6D" w14:textId="77777777" w:rsidR="00CC1539" w:rsidRDefault="00CC1539" w:rsidP="003C4778">
      <w:pPr>
        <w:spacing w:after="0" w:line="240" w:lineRule="auto"/>
        <w:jc w:val="both"/>
        <w:rPr>
          <w:rFonts w:ascii="Times New Roman" w:eastAsia="Times New Roman" w:hAnsi="Times New Roman" w:cs="Times New Roman"/>
          <w:sz w:val="24"/>
          <w:szCs w:val="24"/>
        </w:rPr>
      </w:pPr>
      <w:r w:rsidRPr="00CC1539">
        <w:rPr>
          <w:rFonts w:ascii="Times New Roman" w:eastAsia="Times New Roman" w:hAnsi="Times New Roman" w:cs="Times New Roman"/>
          <w:sz w:val="24"/>
          <w:szCs w:val="24"/>
        </w:rPr>
        <w:t xml:space="preserve">The synthesis of FAPI conjugated to a DOTA chelator for labeling with </w:t>
      </w:r>
      <w:r>
        <w:rPr>
          <w:rFonts w:ascii="Times New Roman" w:eastAsia="Times New Roman" w:hAnsi="Times New Roman" w:cs="Times New Roman"/>
          <w:sz w:val="24"/>
          <w:szCs w:val="24"/>
        </w:rPr>
        <w:t xml:space="preserve">Tc-99m and Lu-177 </w:t>
      </w:r>
      <w:r w:rsidRPr="00CC1539">
        <w:rPr>
          <w:rFonts w:ascii="Times New Roman" w:eastAsia="Times New Roman" w:hAnsi="Times New Roman" w:cs="Times New Roman"/>
          <w:sz w:val="24"/>
          <w:szCs w:val="24"/>
        </w:rPr>
        <w:t>has been developed and optimized at</w:t>
      </w:r>
      <w:r>
        <w:rPr>
          <w:rFonts w:ascii="Times New Roman" w:eastAsia="Times New Roman" w:hAnsi="Times New Roman" w:cs="Times New Roman"/>
          <w:sz w:val="24"/>
          <w:szCs w:val="24"/>
        </w:rPr>
        <w:t xml:space="preserve"> PINSTECH.</w:t>
      </w:r>
      <w:r w:rsidRPr="00CC1539">
        <w:rPr>
          <w:rFonts w:ascii="Times New Roman" w:eastAsia="Times New Roman" w:hAnsi="Times New Roman" w:cs="Times New Roman"/>
          <w:sz w:val="24"/>
          <w:szCs w:val="24"/>
        </w:rPr>
        <w:t xml:space="preserve"> However, when using radionuclides produced through MEDICIS implantation techniques, specific radiochemical purification steps are required to ensure high pur</w:t>
      </w:r>
      <w:r>
        <w:rPr>
          <w:rFonts w:ascii="Times New Roman" w:eastAsia="Times New Roman" w:hAnsi="Times New Roman" w:cs="Times New Roman"/>
          <w:sz w:val="24"/>
          <w:szCs w:val="24"/>
        </w:rPr>
        <w:t xml:space="preserve">ity and labeling efficiency.  </w:t>
      </w:r>
      <w:r w:rsidR="003C4778" w:rsidRPr="003C4778">
        <w:rPr>
          <w:rFonts w:ascii="Times New Roman" w:eastAsia="Times New Roman" w:hAnsi="Times New Roman" w:cs="Times New Roman"/>
          <w:sz w:val="24"/>
          <w:szCs w:val="24"/>
        </w:rPr>
        <w:t>Enriched ¹⁵²Sm (≥98.4%) targets are irradiated in a high-flux position of the Belgian Reactor 2 (BR2) at the Belgian Nuclear Research Centre (SCK CEN). Aft</w:t>
      </w:r>
      <w:r w:rsidR="003C4778">
        <w:rPr>
          <w:rFonts w:ascii="Times New Roman" w:eastAsia="Times New Roman" w:hAnsi="Times New Roman" w:cs="Times New Roman"/>
          <w:sz w:val="24"/>
          <w:szCs w:val="24"/>
        </w:rPr>
        <w:t xml:space="preserve">er irradiation, the ampoules will </w:t>
      </w:r>
      <w:r w:rsidR="00D023BB">
        <w:rPr>
          <w:rFonts w:ascii="Times New Roman" w:eastAsia="Times New Roman" w:hAnsi="Times New Roman" w:cs="Times New Roman"/>
          <w:sz w:val="24"/>
          <w:szCs w:val="24"/>
        </w:rPr>
        <w:t xml:space="preserve">be </w:t>
      </w:r>
      <w:r w:rsidR="00D023BB" w:rsidRPr="003C4778">
        <w:rPr>
          <w:rFonts w:ascii="Times New Roman" w:eastAsia="Times New Roman" w:hAnsi="Times New Roman" w:cs="Times New Roman"/>
          <w:sz w:val="24"/>
          <w:szCs w:val="24"/>
        </w:rPr>
        <w:t>deconditioned</w:t>
      </w:r>
      <w:r w:rsidR="003C4778" w:rsidRPr="003C4778">
        <w:rPr>
          <w:rFonts w:ascii="Times New Roman" w:eastAsia="Times New Roman" w:hAnsi="Times New Roman" w:cs="Times New Roman"/>
          <w:sz w:val="24"/>
          <w:szCs w:val="24"/>
        </w:rPr>
        <w:t xml:space="preserve">, dissolved, and evaporated to dryness within a dedicated MEDICIS transport container. The irradiated material </w:t>
      </w:r>
      <w:r w:rsidR="003C4778">
        <w:rPr>
          <w:rFonts w:ascii="Times New Roman" w:eastAsia="Times New Roman" w:hAnsi="Times New Roman" w:cs="Times New Roman"/>
          <w:sz w:val="24"/>
          <w:szCs w:val="24"/>
        </w:rPr>
        <w:t xml:space="preserve">will </w:t>
      </w:r>
      <w:r w:rsidR="003C4778" w:rsidRPr="003C4778">
        <w:rPr>
          <w:rFonts w:ascii="Times New Roman" w:eastAsia="Times New Roman" w:hAnsi="Times New Roman" w:cs="Times New Roman"/>
          <w:sz w:val="24"/>
          <w:szCs w:val="24"/>
        </w:rPr>
        <w:t>then transferred to a MEDICIS production unit, where mass separation and implantation into metal</w:t>
      </w:r>
      <w:r w:rsidR="003C4778">
        <w:rPr>
          <w:rFonts w:ascii="Times New Roman" w:eastAsia="Times New Roman" w:hAnsi="Times New Roman" w:cs="Times New Roman"/>
          <w:sz w:val="24"/>
          <w:szCs w:val="24"/>
        </w:rPr>
        <w:t xml:space="preserve">lic foils will </w:t>
      </w:r>
      <w:r w:rsidR="00D023BB">
        <w:rPr>
          <w:rFonts w:ascii="Times New Roman" w:eastAsia="Times New Roman" w:hAnsi="Times New Roman" w:cs="Times New Roman"/>
          <w:sz w:val="24"/>
          <w:szCs w:val="24"/>
        </w:rPr>
        <w:t xml:space="preserve">be </w:t>
      </w:r>
      <w:r w:rsidR="00D023BB" w:rsidRPr="003C4778">
        <w:rPr>
          <w:rFonts w:ascii="Times New Roman" w:eastAsia="Times New Roman" w:hAnsi="Times New Roman" w:cs="Times New Roman"/>
          <w:sz w:val="24"/>
          <w:szCs w:val="24"/>
        </w:rPr>
        <w:t>carried</w:t>
      </w:r>
      <w:r w:rsidR="003C4778" w:rsidRPr="003C4778">
        <w:rPr>
          <w:rFonts w:ascii="Times New Roman" w:eastAsia="Times New Roman" w:hAnsi="Times New Roman" w:cs="Times New Roman"/>
          <w:sz w:val="24"/>
          <w:szCs w:val="24"/>
        </w:rPr>
        <w:t xml:space="preserve"> out, followed by radionuclidic characterization before shipment t</w:t>
      </w:r>
      <w:r w:rsidR="003C4778">
        <w:rPr>
          <w:rFonts w:ascii="Times New Roman" w:eastAsia="Times New Roman" w:hAnsi="Times New Roman" w:cs="Times New Roman"/>
          <w:sz w:val="24"/>
          <w:szCs w:val="24"/>
        </w:rPr>
        <w:t>o PINSTECH. S</w:t>
      </w:r>
      <w:r w:rsidR="003C4778" w:rsidRPr="003C4778">
        <w:rPr>
          <w:rFonts w:ascii="Times New Roman" w:eastAsia="Times New Roman" w:hAnsi="Times New Roman" w:cs="Times New Roman"/>
          <w:sz w:val="24"/>
          <w:szCs w:val="24"/>
        </w:rPr>
        <w:t>ubsequent foil dissolution and chemical purific</w:t>
      </w:r>
      <w:r w:rsidR="003C4778">
        <w:rPr>
          <w:rFonts w:ascii="Times New Roman" w:eastAsia="Times New Roman" w:hAnsi="Times New Roman" w:cs="Times New Roman"/>
          <w:sz w:val="24"/>
          <w:szCs w:val="24"/>
        </w:rPr>
        <w:t xml:space="preserve">ation prior to radiolabeling will </w:t>
      </w:r>
      <w:r w:rsidR="00D023BB">
        <w:rPr>
          <w:rFonts w:ascii="Times New Roman" w:eastAsia="Times New Roman" w:hAnsi="Times New Roman" w:cs="Times New Roman"/>
          <w:sz w:val="24"/>
          <w:szCs w:val="24"/>
        </w:rPr>
        <w:t xml:space="preserve">be </w:t>
      </w:r>
      <w:r w:rsidR="00D023BB" w:rsidRPr="003C4778">
        <w:rPr>
          <w:rFonts w:ascii="Times New Roman" w:eastAsia="Times New Roman" w:hAnsi="Times New Roman" w:cs="Times New Roman"/>
          <w:sz w:val="24"/>
          <w:szCs w:val="24"/>
        </w:rPr>
        <w:t>performed</w:t>
      </w:r>
      <w:r w:rsidR="003C4778" w:rsidRPr="003C4778">
        <w:rPr>
          <w:rFonts w:ascii="Times New Roman" w:eastAsia="Times New Roman" w:hAnsi="Times New Roman" w:cs="Times New Roman"/>
          <w:sz w:val="24"/>
          <w:szCs w:val="24"/>
        </w:rPr>
        <w:t xml:space="preserve"> at </w:t>
      </w:r>
      <w:r w:rsidR="003C4778">
        <w:rPr>
          <w:rFonts w:ascii="Times New Roman" w:eastAsia="Times New Roman" w:hAnsi="Times New Roman" w:cs="Times New Roman"/>
          <w:sz w:val="24"/>
          <w:szCs w:val="24"/>
        </w:rPr>
        <w:t xml:space="preserve">PINSTECH. Labelling methods and QC will also be done here. The optimum method will then be translated to theNM </w:t>
      </w:r>
      <w:r w:rsidR="00D023BB">
        <w:rPr>
          <w:rFonts w:ascii="Times New Roman" w:eastAsia="Times New Roman" w:hAnsi="Times New Roman" w:cs="Times New Roman"/>
          <w:sz w:val="24"/>
          <w:szCs w:val="24"/>
        </w:rPr>
        <w:t>centre (</w:t>
      </w:r>
      <w:r w:rsidR="003C4778">
        <w:rPr>
          <w:rFonts w:ascii="Times New Roman" w:eastAsia="Times New Roman" w:hAnsi="Times New Roman" w:cs="Times New Roman"/>
          <w:sz w:val="24"/>
          <w:szCs w:val="24"/>
        </w:rPr>
        <w:t xml:space="preserve">INMOL) for </w:t>
      </w:r>
      <w:r w:rsidR="00D023BB">
        <w:rPr>
          <w:rFonts w:ascii="Times New Roman" w:eastAsia="Times New Roman" w:hAnsi="Times New Roman" w:cs="Times New Roman"/>
          <w:sz w:val="24"/>
          <w:szCs w:val="24"/>
        </w:rPr>
        <w:t>subsequent preparation</w:t>
      </w:r>
      <w:r w:rsidR="003C4778">
        <w:rPr>
          <w:rFonts w:ascii="Times New Roman" w:eastAsia="Times New Roman" w:hAnsi="Times New Roman" w:cs="Times New Roman"/>
          <w:sz w:val="24"/>
          <w:szCs w:val="24"/>
        </w:rPr>
        <w:t xml:space="preserve"> of the doses for </w:t>
      </w:r>
      <w:r w:rsidR="00D023BB">
        <w:rPr>
          <w:rFonts w:ascii="Times New Roman" w:eastAsia="Times New Roman" w:hAnsi="Times New Roman" w:cs="Times New Roman"/>
          <w:sz w:val="24"/>
          <w:szCs w:val="24"/>
        </w:rPr>
        <w:t>the patients</w:t>
      </w:r>
      <w:r w:rsidR="003C4778">
        <w:rPr>
          <w:rFonts w:ascii="Times New Roman" w:eastAsia="Times New Roman" w:hAnsi="Times New Roman" w:cs="Times New Roman"/>
          <w:sz w:val="24"/>
          <w:szCs w:val="24"/>
        </w:rPr>
        <w:t xml:space="preserve">. </w:t>
      </w:r>
    </w:p>
    <w:p w14:paraId="28B1E837" w14:textId="77777777" w:rsidR="003C4778" w:rsidRPr="00CC1539" w:rsidRDefault="003C4778" w:rsidP="003C4778">
      <w:pPr>
        <w:spacing w:after="0" w:line="240" w:lineRule="auto"/>
        <w:jc w:val="both"/>
        <w:rPr>
          <w:rFonts w:ascii="Times New Roman" w:eastAsia="Times New Roman" w:hAnsi="Times New Roman" w:cs="Times New Roman"/>
          <w:sz w:val="16"/>
          <w:szCs w:val="16"/>
        </w:rPr>
      </w:pPr>
    </w:p>
    <w:p w14:paraId="4C265EEC" w14:textId="77777777" w:rsidR="00CC1539" w:rsidRPr="003C4778" w:rsidRDefault="00CC1539" w:rsidP="003C4778">
      <w:pPr>
        <w:spacing w:after="0" w:line="240" w:lineRule="auto"/>
        <w:rPr>
          <w:rFonts w:ascii="Times New Roman" w:eastAsia="Times New Roman" w:hAnsi="Times New Roman" w:cs="Times New Roman"/>
          <w:sz w:val="24"/>
          <w:szCs w:val="24"/>
        </w:rPr>
      </w:pPr>
      <w:r w:rsidRPr="003C4778">
        <w:rPr>
          <w:rFonts w:ascii="Times New Roman" w:eastAsia="Times New Roman" w:hAnsi="Times New Roman" w:cs="Times New Roman"/>
          <w:b/>
          <w:bCs/>
          <w:i/>
          <w:sz w:val="24"/>
          <w:szCs w:val="24"/>
        </w:rPr>
        <w:t>Imaging &amp; Dosimetry:</w:t>
      </w:r>
      <w:r w:rsidRPr="00CC1539">
        <w:rPr>
          <w:rFonts w:ascii="Times New Roman" w:eastAsia="Times New Roman" w:hAnsi="Times New Roman" w:cs="Times New Roman"/>
          <w:sz w:val="24"/>
          <w:szCs w:val="24"/>
        </w:rPr>
        <w:br/>
        <w:t xml:space="preserve">Post-therapy planar/SPECT imaging will quantify organ and tumor uptake. Dosimetry will be estimated using </w:t>
      </w:r>
      <w:r w:rsidRPr="003C4778">
        <w:rPr>
          <w:rFonts w:ascii="Times New Roman" w:eastAsia="Times New Roman" w:hAnsi="Times New Roman" w:cs="Times New Roman"/>
          <w:bCs/>
          <w:sz w:val="24"/>
          <w:szCs w:val="24"/>
        </w:rPr>
        <w:t>OLINDA/EXM</w:t>
      </w:r>
      <w:r w:rsidRPr="00CC1539">
        <w:rPr>
          <w:rFonts w:ascii="Times New Roman" w:eastAsia="Times New Roman" w:hAnsi="Times New Roman" w:cs="Times New Roman"/>
          <w:sz w:val="24"/>
          <w:szCs w:val="24"/>
        </w:rPr>
        <w:t xml:space="preserve"> or equivalent software following IAEA and EANM guidelines.</w:t>
      </w:r>
    </w:p>
    <w:p w14:paraId="77144E83" w14:textId="77777777" w:rsidR="003C4778" w:rsidRPr="00CC1539" w:rsidRDefault="003C4778" w:rsidP="003C4778">
      <w:pPr>
        <w:spacing w:after="0" w:line="240" w:lineRule="auto"/>
        <w:rPr>
          <w:rFonts w:ascii="Times New Roman" w:eastAsia="Times New Roman" w:hAnsi="Times New Roman" w:cs="Times New Roman"/>
          <w:sz w:val="16"/>
          <w:szCs w:val="16"/>
        </w:rPr>
      </w:pPr>
    </w:p>
    <w:p w14:paraId="6114DC11" w14:textId="77777777" w:rsidR="00CC1539" w:rsidRDefault="00CC1539" w:rsidP="003C4778">
      <w:pPr>
        <w:spacing w:after="0" w:line="240" w:lineRule="auto"/>
        <w:rPr>
          <w:rFonts w:ascii="Times New Roman" w:eastAsia="Times New Roman" w:hAnsi="Times New Roman" w:cs="Times New Roman"/>
          <w:sz w:val="24"/>
          <w:szCs w:val="24"/>
        </w:rPr>
      </w:pPr>
      <w:r w:rsidRPr="00CC1539">
        <w:rPr>
          <w:rFonts w:ascii="Times New Roman" w:eastAsia="Times New Roman" w:hAnsi="Times New Roman" w:cs="Times New Roman"/>
          <w:b/>
          <w:bCs/>
          <w:sz w:val="24"/>
          <w:szCs w:val="24"/>
        </w:rPr>
        <w:t>Regulatory &amp; Ethics</w:t>
      </w:r>
      <w:r w:rsidR="00D023BB" w:rsidRPr="00CC1539">
        <w:rPr>
          <w:rFonts w:ascii="Times New Roman" w:eastAsia="Times New Roman" w:hAnsi="Times New Roman" w:cs="Times New Roman"/>
          <w:b/>
          <w:bCs/>
          <w:sz w:val="24"/>
          <w:szCs w:val="24"/>
        </w:rPr>
        <w:t xml:space="preserve">: </w:t>
      </w:r>
      <w:r w:rsidRPr="00CC1539">
        <w:rPr>
          <w:rFonts w:ascii="Times New Roman" w:eastAsia="Times New Roman" w:hAnsi="Times New Roman" w:cs="Times New Roman"/>
          <w:sz w:val="24"/>
          <w:szCs w:val="24"/>
        </w:rPr>
        <w:br/>
        <w:t xml:space="preserve">Project approval will be obtained from </w:t>
      </w:r>
      <w:r w:rsidRPr="00CC1539">
        <w:rPr>
          <w:rFonts w:ascii="Times New Roman" w:eastAsia="Times New Roman" w:hAnsi="Times New Roman" w:cs="Times New Roman"/>
          <w:b/>
          <w:bCs/>
          <w:sz w:val="24"/>
          <w:szCs w:val="24"/>
        </w:rPr>
        <w:t>PAEC and NORI Ethics Committee</w:t>
      </w:r>
      <w:r w:rsidRPr="00CC1539">
        <w:rPr>
          <w:rFonts w:ascii="Times New Roman" w:eastAsia="Times New Roman" w:hAnsi="Times New Roman" w:cs="Times New Roman"/>
          <w:sz w:val="24"/>
          <w:szCs w:val="24"/>
        </w:rPr>
        <w:t>. All patients will provide written informed consent. Potential risks include mild marrow suppression, transient nausea, or fatigue.</w:t>
      </w:r>
    </w:p>
    <w:p w14:paraId="784B6857" w14:textId="77777777" w:rsidR="003C4778" w:rsidRDefault="003C4778" w:rsidP="003C4778">
      <w:pPr>
        <w:spacing w:after="0" w:line="240" w:lineRule="auto"/>
        <w:rPr>
          <w:rFonts w:ascii="Times New Roman" w:eastAsia="Times New Roman" w:hAnsi="Times New Roman" w:cs="Times New Roman"/>
          <w:sz w:val="24"/>
          <w:szCs w:val="24"/>
        </w:rPr>
      </w:pPr>
    </w:p>
    <w:p w14:paraId="7FEECE95" w14:textId="77777777" w:rsidR="003C4778" w:rsidRPr="003C4778" w:rsidRDefault="003C4778" w:rsidP="003C4778">
      <w:pPr>
        <w:pStyle w:val="Heading2"/>
        <w:spacing w:before="0"/>
        <w:rPr>
          <w:rFonts w:ascii="Arial" w:hAnsi="Arial" w:cs="Arial"/>
          <w:b/>
          <w:sz w:val="24"/>
          <w:szCs w:val="24"/>
        </w:rPr>
      </w:pPr>
      <w:r w:rsidRPr="003C4778">
        <w:rPr>
          <w:rFonts w:ascii="Arial" w:hAnsi="Arial" w:cs="Arial"/>
          <w:b/>
          <w:color w:val="auto"/>
          <w:sz w:val="24"/>
          <w:szCs w:val="24"/>
        </w:rPr>
        <w:lastRenderedPageBreak/>
        <w:t>Isotope Request</w:t>
      </w:r>
    </w:p>
    <w:p w14:paraId="07782970" w14:textId="77777777" w:rsidR="003C4778" w:rsidRDefault="003C4778" w:rsidP="003C4778">
      <w:pPr>
        <w:pStyle w:val="NormalWeb"/>
        <w:spacing w:before="0" w:beforeAutospacing="0" w:after="0" w:afterAutospacing="0"/>
      </w:pPr>
      <w:r w:rsidRPr="003C4778">
        <w:rPr>
          <w:rStyle w:val="Strong"/>
          <w:i/>
        </w:rPr>
        <w:t>Isotope:</w:t>
      </w:r>
      <w:r>
        <w:t xml:space="preserve"> Samarium-153, carrier-free or low-carrier Sm-153 as chloride, with purity &gt; 99.9 %.</w:t>
      </w:r>
      <w:r>
        <w:br/>
      </w:r>
      <w:r w:rsidRPr="003C4778">
        <w:rPr>
          <w:rStyle w:val="Strong"/>
          <w:i/>
        </w:rPr>
        <w:t>Activity requirement:</w:t>
      </w:r>
      <w:r>
        <w:t xml:space="preserve"> ~30 GBq per batch, 2–3 batches during 18 months.</w:t>
      </w:r>
      <w:r>
        <w:br/>
      </w:r>
    </w:p>
    <w:p w14:paraId="27DA522E" w14:textId="77777777" w:rsidR="003C4778" w:rsidRDefault="003C4778" w:rsidP="00D023BB">
      <w:pPr>
        <w:autoSpaceDE w:val="0"/>
        <w:autoSpaceDN w:val="0"/>
        <w:adjustRightInd w:val="0"/>
        <w:spacing w:before="120" w:after="0" w:line="240" w:lineRule="auto"/>
        <w:rPr>
          <w:rFonts w:ascii="Arial" w:hAnsi="Arial" w:cs="Arial"/>
          <w:color w:val="000000"/>
        </w:rPr>
      </w:pPr>
      <w:r w:rsidRPr="003C4778">
        <w:rPr>
          <w:rFonts w:ascii="Arial" w:hAnsi="Arial" w:cs="Arial"/>
          <w:b/>
          <w:bCs/>
          <w:color w:val="000000"/>
          <w:sz w:val="24"/>
          <w:szCs w:val="24"/>
        </w:rPr>
        <w:t>References and Funding:</w:t>
      </w:r>
      <w:r w:rsidRPr="003C4778">
        <w:rPr>
          <w:rFonts w:ascii="Arial" w:hAnsi="Arial" w:cs="Arial"/>
          <w:b/>
          <w:bCs/>
          <w:color w:val="000000"/>
        </w:rPr>
        <w:t xml:space="preserve"> </w:t>
      </w:r>
      <w:r w:rsidRPr="003C4778">
        <w:rPr>
          <w:rFonts w:ascii="Arial" w:hAnsi="Arial" w:cs="Arial"/>
          <w:color w:val="000000"/>
        </w:rPr>
        <w:t xml:space="preserve">(literature, funding of project, other projects/grants linked) </w:t>
      </w:r>
    </w:p>
    <w:p w14:paraId="7D8F73CB" w14:textId="77777777" w:rsidR="00D023BB" w:rsidRDefault="00D023BB" w:rsidP="00D023BB">
      <w:pPr>
        <w:autoSpaceDE w:val="0"/>
        <w:autoSpaceDN w:val="0"/>
        <w:adjustRightInd w:val="0"/>
        <w:spacing w:before="120" w:after="0" w:line="240" w:lineRule="auto"/>
        <w:rPr>
          <w:rFonts w:ascii="Arial" w:hAnsi="Arial" w:cs="Arial"/>
          <w:color w:val="000000"/>
        </w:rPr>
      </w:pPr>
      <w:r w:rsidRPr="00D023BB">
        <w:rPr>
          <w:rFonts w:ascii="Arial" w:hAnsi="Arial" w:cs="Arial"/>
          <w:color w:val="000000"/>
        </w:rPr>
        <w:t>Institutional seed funds; in-kind support via MEDICIS isotope provisioning and logistics</w:t>
      </w:r>
    </w:p>
    <w:p w14:paraId="035A1EB9" w14:textId="77777777" w:rsidR="00D023BB" w:rsidRDefault="00D023BB" w:rsidP="00D023BB">
      <w:pPr>
        <w:autoSpaceDE w:val="0"/>
        <w:autoSpaceDN w:val="0"/>
        <w:adjustRightInd w:val="0"/>
        <w:spacing w:before="120" w:after="0" w:line="240" w:lineRule="auto"/>
        <w:rPr>
          <w:rFonts w:ascii="Arial" w:hAnsi="Arial" w:cs="Arial"/>
          <w:color w:val="000000"/>
        </w:rPr>
      </w:pPr>
    </w:p>
    <w:p w14:paraId="335948F1" w14:textId="77777777" w:rsidR="00D023BB" w:rsidRDefault="00D023BB" w:rsidP="003C4778">
      <w:pPr>
        <w:autoSpaceDE w:val="0"/>
        <w:autoSpaceDN w:val="0"/>
        <w:adjustRightInd w:val="0"/>
        <w:spacing w:after="0" w:line="240" w:lineRule="auto"/>
        <w:rPr>
          <w:rFonts w:ascii="Arial" w:hAnsi="Arial" w:cs="Arial"/>
          <w:color w:val="000000"/>
        </w:rPr>
      </w:pPr>
    </w:p>
    <w:p w14:paraId="03502610" w14:textId="77777777" w:rsidR="00D023BB" w:rsidRDefault="00D023BB" w:rsidP="003C4778">
      <w:pPr>
        <w:autoSpaceDE w:val="0"/>
        <w:autoSpaceDN w:val="0"/>
        <w:adjustRightInd w:val="0"/>
        <w:spacing w:after="0" w:line="240" w:lineRule="auto"/>
        <w:rPr>
          <w:rFonts w:ascii="Arial" w:hAnsi="Arial" w:cs="Arial"/>
          <w:color w:val="000000"/>
        </w:rPr>
      </w:pPr>
    </w:p>
    <w:p w14:paraId="34D0E57E" w14:textId="77777777" w:rsidR="00D023BB" w:rsidRDefault="00D023BB" w:rsidP="00D023BB">
      <w:pPr>
        <w:pStyle w:val="NormalWeb"/>
        <w:spacing w:before="120" w:beforeAutospacing="0" w:after="0" w:afterAutospacing="0"/>
      </w:pPr>
      <w:r>
        <w:rPr>
          <w:rFonts w:hAnsi="Symbol"/>
        </w:rPr>
        <w:t></w:t>
      </w:r>
      <w:r>
        <w:t xml:space="preserve"> Kratochwil C et al. </w:t>
      </w:r>
      <w:r>
        <w:rPr>
          <w:rStyle w:val="Emphasis"/>
        </w:rPr>
        <w:t>J Nucl Med</w:t>
      </w:r>
      <w:r>
        <w:t xml:space="preserve"> 2021;62:1226–1232 (FAPI theranostics).</w:t>
      </w:r>
    </w:p>
    <w:p w14:paraId="4D00D6A9" w14:textId="77777777" w:rsidR="00D023BB" w:rsidRDefault="00D023BB" w:rsidP="00D023BB">
      <w:pPr>
        <w:pStyle w:val="NormalWeb"/>
        <w:spacing w:before="120" w:beforeAutospacing="0" w:after="0" w:afterAutospacing="0"/>
      </w:pPr>
      <w:r>
        <w:rPr>
          <w:rFonts w:hAnsi="Symbol"/>
        </w:rPr>
        <w:t></w:t>
      </w:r>
      <w:r>
        <w:t xml:space="preserve"> Lindner T et al. </w:t>
      </w:r>
      <w:r>
        <w:rPr>
          <w:rStyle w:val="Emphasis"/>
        </w:rPr>
        <w:t>J Nucl Med</w:t>
      </w:r>
      <w:r>
        <w:t xml:space="preserve"> 2019;60:386–392 (FAPI imaging).</w:t>
      </w:r>
    </w:p>
    <w:p w14:paraId="3437F19A" w14:textId="77777777" w:rsidR="00D023BB" w:rsidRDefault="00D023BB" w:rsidP="00D023BB">
      <w:pPr>
        <w:pStyle w:val="NormalWeb"/>
        <w:spacing w:before="120" w:beforeAutospacing="0" w:after="0" w:afterAutospacing="0"/>
      </w:pPr>
      <w:r>
        <w:rPr>
          <w:rFonts w:hAnsi="Symbol"/>
        </w:rPr>
        <w:t></w:t>
      </w:r>
      <w:r>
        <w:t xml:space="preserve"> Eppard E et al. </w:t>
      </w:r>
      <w:r>
        <w:rPr>
          <w:rStyle w:val="Emphasis"/>
        </w:rPr>
        <w:t>J Labelled Compd Radiopharm</w:t>
      </w:r>
      <w:r>
        <w:t xml:space="preserve"> 2022;65:261–271 (Radiolabeling of FAPI) </w:t>
      </w:r>
    </w:p>
    <w:p w14:paraId="613C8379" w14:textId="77777777" w:rsidR="00D023BB" w:rsidRDefault="00D023BB" w:rsidP="00D023BB">
      <w:pPr>
        <w:pStyle w:val="NormalWeb"/>
        <w:spacing w:before="120" w:beforeAutospacing="0" w:after="0" w:afterAutospacing="0"/>
      </w:pPr>
      <w:r>
        <w:rPr>
          <w:rFonts w:hAnsi="Symbol"/>
        </w:rPr>
        <w:t></w:t>
      </w:r>
      <w:r>
        <w:t xml:space="preserve"> IAEA TECDOC-1856: </w:t>
      </w:r>
      <w:r>
        <w:rPr>
          <w:rStyle w:val="Emphasis"/>
        </w:rPr>
        <w:t>Theranostic Radiopharmaceuticals for Cancer Management</w:t>
      </w:r>
      <w:r>
        <w:t xml:space="preserve"> (2018).</w:t>
      </w:r>
    </w:p>
    <w:p w14:paraId="698CB3B0" w14:textId="77777777" w:rsidR="00D023BB" w:rsidRDefault="00D023BB" w:rsidP="00D023BB">
      <w:pPr>
        <w:pStyle w:val="NormalWeb"/>
        <w:spacing w:before="120" w:beforeAutospacing="0" w:after="0" w:afterAutospacing="0"/>
      </w:pPr>
      <w:r>
        <w:rPr>
          <w:rFonts w:hAnsi="Symbol"/>
        </w:rPr>
        <w:t></w:t>
      </w:r>
      <w:r>
        <w:t xml:space="preserve"> EANM Guidelines for Radiopharmaceutical Therapy Dosimetry (2022).</w:t>
      </w:r>
    </w:p>
    <w:p w14:paraId="55D65502" w14:textId="77777777" w:rsidR="00D023BB" w:rsidRPr="003C4778" w:rsidRDefault="00D023BB" w:rsidP="003C4778">
      <w:pPr>
        <w:autoSpaceDE w:val="0"/>
        <w:autoSpaceDN w:val="0"/>
        <w:adjustRightInd w:val="0"/>
        <w:spacing w:after="0" w:line="240" w:lineRule="auto"/>
        <w:rPr>
          <w:rFonts w:ascii="Arial" w:hAnsi="Arial" w:cs="Arial"/>
          <w:color w:val="000000"/>
        </w:rPr>
      </w:pPr>
    </w:p>
    <w:sectPr w:rsidR="00D023BB" w:rsidRPr="003C477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794948"/>
    <w:multiLevelType w:val="multilevel"/>
    <w:tmpl w:val="301291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C87552A"/>
    <w:multiLevelType w:val="multilevel"/>
    <w:tmpl w:val="0106B6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11E6C2E"/>
    <w:multiLevelType w:val="hybridMultilevel"/>
    <w:tmpl w:val="C87CF5F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C5B06A1"/>
    <w:multiLevelType w:val="multilevel"/>
    <w:tmpl w:val="075236AE"/>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4" w15:restartNumberingAfterBreak="0">
    <w:nsid w:val="2B656E16"/>
    <w:multiLevelType w:val="hybridMultilevel"/>
    <w:tmpl w:val="26B080DA"/>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2BA927DA"/>
    <w:multiLevelType w:val="hybridMultilevel"/>
    <w:tmpl w:val="8C8415A2"/>
    <w:lvl w:ilvl="0" w:tplc="0409000F">
      <w:start w:val="1"/>
      <w:numFmt w:val="decimal"/>
      <w:lvlText w:val="%1."/>
      <w:lvlJc w:val="left"/>
      <w:pPr>
        <w:ind w:left="720" w:hanging="360"/>
      </w:pPr>
    </w:lvl>
    <w:lvl w:ilvl="1" w:tplc="3288D196">
      <w:numFmt w:val="bullet"/>
      <w:lvlText w:val="-"/>
      <w:lvlJc w:val="left"/>
      <w:pPr>
        <w:ind w:left="1440" w:hanging="360"/>
      </w:pPr>
      <w:rPr>
        <w:rFonts w:ascii="Calibri" w:eastAsia="Times New Roman" w:hAnsi="Calibri" w:cs="Calibri"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CA87368"/>
    <w:multiLevelType w:val="multilevel"/>
    <w:tmpl w:val="3C0038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A4A6ED8"/>
    <w:multiLevelType w:val="multilevel"/>
    <w:tmpl w:val="24A076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423D5637"/>
    <w:multiLevelType w:val="hybridMultilevel"/>
    <w:tmpl w:val="9A9821A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15:restartNumberingAfterBreak="0">
    <w:nsid w:val="49BC7CCE"/>
    <w:multiLevelType w:val="hybridMultilevel"/>
    <w:tmpl w:val="A29250EE"/>
    <w:lvl w:ilvl="0" w:tplc="3288D196">
      <w:numFmt w:val="bullet"/>
      <w:lvlText w:val="-"/>
      <w:lvlJc w:val="left"/>
      <w:pPr>
        <w:ind w:left="1080" w:hanging="360"/>
      </w:pPr>
      <w:rPr>
        <w:rFonts w:ascii="Calibri" w:eastAsia="Times New Roman" w:hAnsi="Calibri" w:cs="Calibri"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4F5F3246"/>
    <w:multiLevelType w:val="hybridMultilevel"/>
    <w:tmpl w:val="C1709176"/>
    <w:lvl w:ilvl="0" w:tplc="3288D196">
      <w:numFmt w:val="bullet"/>
      <w:lvlText w:val="-"/>
      <w:lvlJc w:val="left"/>
      <w:pPr>
        <w:ind w:left="720" w:hanging="360"/>
      </w:pPr>
      <w:rPr>
        <w:rFonts w:ascii="Calibri" w:eastAsia="Times New Roman" w:hAnsi="Calibri" w:cs="Calibri" w:hint="default"/>
      </w:rPr>
    </w:lvl>
    <w:lvl w:ilvl="1" w:tplc="3288D196">
      <w:numFmt w:val="bullet"/>
      <w:lvlText w:val="-"/>
      <w:lvlJc w:val="left"/>
      <w:pPr>
        <w:ind w:left="1440" w:hanging="360"/>
      </w:pPr>
      <w:rPr>
        <w:rFonts w:ascii="Calibri" w:eastAsia="Times New Roman" w:hAnsi="Calibri" w:cs="Calibri"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0FD42F1"/>
    <w:multiLevelType w:val="hybridMultilevel"/>
    <w:tmpl w:val="AA68E36E"/>
    <w:lvl w:ilvl="0" w:tplc="3288D196">
      <w:numFmt w:val="bullet"/>
      <w:lvlText w:val="-"/>
      <w:lvlJc w:val="left"/>
      <w:pPr>
        <w:ind w:left="720" w:hanging="360"/>
      </w:pPr>
      <w:rPr>
        <w:rFonts w:ascii="Calibri" w:eastAsia="Times New Roman"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94D172B"/>
    <w:multiLevelType w:val="multilevel"/>
    <w:tmpl w:val="09288F9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6ABC042E"/>
    <w:multiLevelType w:val="hybridMultilevel"/>
    <w:tmpl w:val="2D22CA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709439C6"/>
    <w:multiLevelType w:val="hybridMultilevel"/>
    <w:tmpl w:val="29702AAC"/>
    <w:lvl w:ilvl="0" w:tplc="04090001">
      <w:start w:val="1"/>
      <w:numFmt w:val="bullet"/>
      <w:lvlText w:val=""/>
      <w:lvlJc w:val="left"/>
      <w:pPr>
        <w:ind w:left="1080" w:hanging="360"/>
      </w:pPr>
      <w:rPr>
        <w:rFonts w:ascii="Symbol" w:hAnsi="Symbol"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792855DF"/>
    <w:multiLevelType w:val="hybridMultilevel"/>
    <w:tmpl w:val="47E44F2C"/>
    <w:lvl w:ilvl="0" w:tplc="04090001">
      <w:start w:val="1"/>
      <w:numFmt w:val="bullet"/>
      <w:lvlText w:val=""/>
      <w:lvlJc w:val="left"/>
      <w:pPr>
        <w:ind w:left="720" w:hanging="360"/>
      </w:pPr>
      <w:rPr>
        <w:rFonts w:ascii="Symbol" w:hAnsi="Symbol" w:hint="default"/>
      </w:rPr>
    </w:lvl>
    <w:lvl w:ilvl="1" w:tplc="3288D196">
      <w:numFmt w:val="bullet"/>
      <w:lvlText w:val="-"/>
      <w:lvlJc w:val="left"/>
      <w:pPr>
        <w:ind w:left="1440" w:hanging="360"/>
      </w:pPr>
      <w:rPr>
        <w:rFonts w:ascii="Calibri" w:eastAsia="Times New Roman" w:hAnsi="Calibri" w:cs="Calibri"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730230800">
    <w:abstractNumId w:val="1"/>
  </w:num>
  <w:num w:numId="2" w16cid:durableId="1830903023">
    <w:abstractNumId w:val="13"/>
  </w:num>
  <w:num w:numId="3" w16cid:durableId="1098328525">
    <w:abstractNumId w:val="5"/>
  </w:num>
  <w:num w:numId="4" w16cid:durableId="510070217">
    <w:abstractNumId w:val="8"/>
  </w:num>
  <w:num w:numId="5" w16cid:durableId="1705786043">
    <w:abstractNumId w:val="15"/>
  </w:num>
  <w:num w:numId="6" w16cid:durableId="468984969">
    <w:abstractNumId w:val="10"/>
  </w:num>
  <w:num w:numId="7" w16cid:durableId="1095173844">
    <w:abstractNumId w:val="11"/>
  </w:num>
  <w:num w:numId="8" w16cid:durableId="737640">
    <w:abstractNumId w:val="2"/>
  </w:num>
  <w:num w:numId="9" w16cid:durableId="348141290">
    <w:abstractNumId w:val="4"/>
  </w:num>
  <w:num w:numId="10" w16cid:durableId="1143501865">
    <w:abstractNumId w:val="9"/>
  </w:num>
  <w:num w:numId="11" w16cid:durableId="476193682">
    <w:abstractNumId w:val="14"/>
  </w:num>
  <w:num w:numId="12" w16cid:durableId="1266156676">
    <w:abstractNumId w:val="12"/>
  </w:num>
  <w:num w:numId="13" w16cid:durableId="533005764">
    <w:abstractNumId w:val="0"/>
  </w:num>
  <w:num w:numId="14" w16cid:durableId="1858345352">
    <w:abstractNumId w:val="3"/>
  </w:num>
  <w:num w:numId="15" w16cid:durableId="31225737">
    <w:abstractNumId w:val="7"/>
  </w:num>
  <w:num w:numId="16" w16cid:durableId="116995177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0"/>
  <w:hideSpellingErrors/>
  <w:hideGrammaticalError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01A6A"/>
    <w:rsid w:val="00034D3C"/>
    <w:rsid w:val="000C7E49"/>
    <w:rsid w:val="001A661B"/>
    <w:rsid w:val="003C4778"/>
    <w:rsid w:val="004842BA"/>
    <w:rsid w:val="004D7774"/>
    <w:rsid w:val="00664F2C"/>
    <w:rsid w:val="007319E3"/>
    <w:rsid w:val="00801A6A"/>
    <w:rsid w:val="00A47A2D"/>
    <w:rsid w:val="00A958C8"/>
    <w:rsid w:val="00B96BF7"/>
    <w:rsid w:val="00C13ECD"/>
    <w:rsid w:val="00CC1539"/>
    <w:rsid w:val="00CC1A3C"/>
    <w:rsid w:val="00D023BB"/>
    <w:rsid w:val="00D17DCB"/>
    <w:rsid w:val="00DC278A"/>
    <w:rsid w:val="00E57F81"/>
    <w:rsid w:val="00E601BB"/>
    <w:rsid w:val="00ED0264"/>
    <w:rsid w:val="00F33E92"/>
    <w:rsid w:val="00F90D7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5267CC"/>
  <w15:chartTrackingRefBased/>
  <w15:docId w15:val="{66DB7020-6E8A-47B4-A783-F821CAE7D5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3C4778"/>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link w:val="Heading3Char"/>
    <w:uiPriority w:val="9"/>
    <w:qFormat/>
    <w:rsid w:val="00801A6A"/>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801A6A"/>
    <w:rPr>
      <w:rFonts w:ascii="Times New Roman" w:eastAsia="Times New Roman" w:hAnsi="Times New Roman" w:cs="Times New Roman"/>
      <w:b/>
      <w:bCs/>
      <w:sz w:val="27"/>
      <w:szCs w:val="27"/>
    </w:rPr>
  </w:style>
  <w:style w:type="paragraph" w:styleId="NormalWeb">
    <w:name w:val="Normal (Web)"/>
    <w:basedOn w:val="Normal"/>
    <w:uiPriority w:val="99"/>
    <w:unhideWhenUsed/>
    <w:rsid w:val="00801A6A"/>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801A6A"/>
    <w:rPr>
      <w:b/>
      <w:bCs/>
    </w:rPr>
  </w:style>
  <w:style w:type="character" w:styleId="Emphasis">
    <w:name w:val="Emphasis"/>
    <w:basedOn w:val="DefaultParagraphFont"/>
    <w:uiPriority w:val="20"/>
    <w:qFormat/>
    <w:rsid w:val="00801A6A"/>
    <w:rPr>
      <w:i/>
      <w:iCs/>
    </w:rPr>
  </w:style>
  <w:style w:type="paragraph" w:customStyle="1" w:styleId="Default">
    <w:name w:val="Default"/>
    <w:rsid w:val="00801A6A"/>
    <w:pPr>
      <w:autoSpaceDE w:val="0"/>
      <w:autoSpaceDN w:val="0"/>
      <w:adjustRightInd w:val="0"/>
      <w:spacing w:after="0" w:line="240" w:lineRule="auto"/>
    </w:pPr>
    <w:rPr>
      <w:rFonts w:ascii="Cambria" w:hAnsi="Cambria" w:cs="Cambria"/>
      <w:color w:val="000000"/>
      <w:sz w:val="24"/>
      <w:szCs w:val="24"/>
    </w:rPr>
  </w:style>
  <w:style w:type="paragraph" w:styleId="ListParagraph">
    <w:name w:val="List Paragraph"/>
    <w:basedOn w:val="Normal"/>
    <w:uiPriority w:val="34"/>
    <w:qFormat/>
    <w:rsid w:val="00F90D7F"/>
    <w:pPr>
      <w:ind w:left="720"/>
      <w:contextualSpacing/>
    </w:pPr>
  </w:style>
  <w:style w:type="character" w:customStyle="1" w:styleId="Heading2Char">
    <w:name w:val="Heading 2 Char"/>
    <w:basedOn w:val="DefaultParagraphFont"/>
    <w:link w:val="Heading2"/>
    <w:uiPriority w:val="9"/>
    <w:semiHidden/>
    <w:rsid w:val="003C4778"/>
    <w:rPr>
      <w:rFonts w:asciiTheme="majorHAnsi" w:eastAsiaTheme="majorEastAsia" w:hAnsiTheme="majorHAnsi" w:cstheme="majorBidi"/>
      <w:color w:val="2E74B5"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9344761">
      <w:bodyDiv w:val="1"/>
      <w:marLeft w:val="0"/>
      <w:marRight w:val="0"/>
      <w:marTop w:val="0"/>
      <w:marBottom w:val="0"/>
      <w:divBdr>
        <w:top w:val="none" w:sz="0" w:space="0" w:color="auto"/>
        <w:left w:val="none" w:sz="0" w:space="0" w:color="auto"/>
        <w:bottom w:val="none" w:sz="0" w:space="0" w:color="auto"/>
        <w:right w:val="none" w:sz="0" w:space="0" w:color="auto"/>
      </w:divBdr>
    </w:div>
    <w:div w:id="278150218">
      <w:bodyDiv w:val="1"/>
      <w:marLeft w:val="0"/>
      <w:marRight w:val="0"/>
      <w:marTop w:val="0"/>
      <w:marBottom w:val="0"/>
      <w:divBdr>
        <w:top w:val="none" w:sz="0" w:space="0" w:color="auto"/>
        <w:left w:val="none" w:sz="0" w:space="0" w:color="auto"/>
        <w:bottom w:val="none" w:sz="0" w:space="0" w:color="auto"/>
        <w:right w:val="none" w:sz="0" w:space="0" w:color="auto"/>
      </w:divBdr>
    </w:div>
    <w:div w:id="285738066">
      <w:bodyDiv w:val="1"/>
      <w:marLeft w:val="0"/>
      <w:marRight w:val="0"/>
      <w:marTop w:val="0"/>
      <w:marBottom w:val="0"/>
      <w:divBdr>
        <w:top w:val="none" w:sz="0" w:space="0" w:color="auto"/>
        <w:left w:val="none" w:sz="0" w:space="0" w:color="auto"/>
        <w:bottom w:val="none" w:sz="0" w:space="0" w:color="auto"/>
        <w:right w:val="none" w:sz="0" w:space="0" w:color="auto"/>
      </w:divBdr>
    </w:div>
    <w:div w:id="332025740">
      <w:bodyDiv w:val="1"/>
      <w:marLeft w:val="0"/>
      <w:marRight w:val="0"/>
      <w:marTop w:val="0"/>
      <w:marBottom w:val="0"/>
      <w:divBdr>
        <w:top w:val="none" w:sz="0" w:space="0" w:color="auto"/>
        <w:left w:val="none" w:sz="0" w:space="0" w:color="auto"/>
        <w:bottom w:val="none" w:sz="0" w:space="0" w:color="auto"/>
        <w:right w:val="none" w:sz="0" w:space="0" w:color="auto"/>
      </w:divBdr>
    </w:div>
    <w:div w:id="1062605730">
      <w:bodyDiv w:val="1"/>
      <w:marLeft w:val="0"/>
      <w:marRight w:val="0"/>
      <w:marTop w:val="0"/>
      <w:marBottom w:val="0"/>
      <w:divBdr>
        <w:top w:val="none" w:sz="0" w:space="0" w:color="auto"/>
        <w:left w:val="none" w:sz="0" w:space="0" w:color="auto"/>
        <w:bottom w:val="none" w:sz="0" w:space="0" w:color="auto"/>
        <w:right w:val="none" w:sz="0" w:space="0" w:color="auto"/>
      </w:divBdr>
    </w:div>
    <w:div w:id="12617907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1028</Words>
  <Characters>5860</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6875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Thierry Stora</cp:lastModifiedBy>
  <cp:revision>2</cp:revision>
  <dcterms:created xsi:type="dcterms:W3CDTF">2025-11-24T14:13:00Z</dcterms:created>
  <dcterms:modified xsi:type="dcterms:W3CDTF">2025-11-24T14:13:00Z</dcterms:modified>
</cp:coreProperties>
</file>