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CC" w:rsidRDefault="00F87DCC" w:rsidP="00165665">
      <w:pPr>
        <w:pStyle w:val="AuthorList"/>
        <w:rPr>
          <w:rFonts w:cs="Arial"/>
          <w:b/>
          <w:bCs/>
          <w:caps/>
          <w:kern w:val="32"/>
          <w:sz w:val="28"/>
          <w:szCs w:val="32"/>
        </w:rPr>
      </w:pPr>
      <w:bookmarkStart w:id="0" w:name="_GoBack"/>
      <w:bookmarkEnd w:id="0"/>
      <w:r w:rsidRPr="00F87DCC">
        <w:rPr>
          <w:rFonts w:cs="Arial"/>
          <w:b/>
          <w:bCs/>
          <w:caps/>
          <w:kern w:val="32"/>
          <w:sz w:val="28"/>
          <w:szCs w:val="32"/>
        </w:rPr>
        <w:t>Accelerators and non LHC Experiment Areas Consolidation up to LS3</w:t>
      </w:r>
      <w:r>
        <w:rPr>
          <w:rFonts w:cs="Arial"/>
          <w:b/>
          <w:bCs/>
          <w:caps/>
          <w:kern w:val="32"/>
          <w:sz w:val="28"/>
          <w:szCs w:val="32"/>
        </w:rPr>
        <w:t xml:space="preserve"> - linacs</w:t>
      </w:r>
    </w:p>
    <w:p w:rsidR="00165665" w:rsidRPr="003020B1" w:rsidRDefault="00F87DCC" w:rsidP="00165665">
      <w:pPr>
        <w:pStyle w:val="AuthorList"/>
        <w:rPr>
          <w:kern w:val="16"/>
        </w:rPr>
      </w:pPr>
      <w:r w:rsidRPr="003020B1">
        <w:rPr>
          <w:kern w:val="16"/>
        </w:rPr>
        <w:t>R. Scrivens</w:t>
      </w:r>
      <w:r w:rsidR="00165665" w:rsidRPr="003020B1">
        <w:rPr>
          <w:kern w:val="16"/>
        </w:rPr>
        <w:t xml:space="preserve"> CERN, Geneva, </w:t>
      </w:r>
      <w:r w:rsidR="00165665" w:rsidRPr="003020B1">
        <w:t>Switzerland</w:t>
      </w:r>
      <w:r w:rsidR="00165665" w:rsidRPr="003020B1">
        <w:rPr>
          <w:kern w:val="16"/>
        </w:rPr>
        <w:br/>
      </w:r>
    </w:p>
    <w:p w:rsidR="00F87DCC" w:rsidRPr="003020B1" w:rsidRDefault="00F87DCC" w:rsidP="00F87DCC">
      <w:pPr>
        <w:pStyle w:val="AbstractTitle"/>
        <w:sectPr w:rsidR="00F87DCC" w:rsidRPr="003020B1" w:rsidSect="007F325F">
          <w:footnotePr>
            <w:pos w:val="beneathText"/>
            <w:numFmt w:val="chicago"/>
          </w:footnotePr>
          <w:endnotePr>
            <w:numFmt w:val="decimal"/>
          </w:endnotePr>
          <w:type w:val="continuous"/>
          <w:pgSz w:w="11909" w:h="16834" w:code="9"/>
          <w:pgMar w:top="2102" w:right="1138" w:bottom="1080" w:left="1138" w:header="1080" w:footer="1080" w:gutter="0"/>
          <w:cols w:space="720"/>
          <w:titlePg/>
          <w:docGrid w:linePitch="360"/>
        </w:sectPr>
      </w:pPr>
    </w:p>
    <w:p w:rsidR="00165665" w:rsidRDefault="00165665" w:rsidP="00165665">
      <w:pPr>
        <w:pStyle w:val="AbstractTitle"/>
        <w:rPr>
          <w:kern w:val="16"/>
        </w:rPr>
      </w:pPr>
      <w:r>
        <w:rPr>
          <w:kern w:val="16"/>
        </w:rPr>
        <w:lastRenderedPageBreak/>
        <w:t>Abstract</w:t>
      </w:r>
    </w:p>
    <w:p w:rsidR="00165665" w:rsidRDefault="00F87DCC" w:rsidP="00165665">
      <w:pPr>
        <w:pStyle w:val="BodyTextIndent"/>
        <w:rPr>
          <w:kern w:val="16"/>
        </w:rPr>
      </w:pPr>
      <w:r w:rsidRPr="00F87DCC">
        <w:rPr>
          <w:kern w:val="16"/>
        </w:rPr>
        <w:t>The consolidation requests for Linacs 2 and 3 will be summarised and prioritised, as well as the requests for the transfer line between Linac2 and the PSB which will be reused</w:t>
      </w:r>
      <w:r>
        <w:rPr>
          <w:kern w:val="16"/>
        </w:rPr>
        <w:t xml:space="preserve"> for Linac4 beams in the future</w:t>
      </w:r>
      <w:r w:rsidR="00165665">
        <w:rPr>
          <w:kern w:val="16"/>
        </w:rPr>
        <w:t>.</w:t>
      </w:r>
    </w:p>
    <w:p w:rsidR="00165665" w:rsidRDefault="00F87DCC" w:rsidP="00165665">
      <w:pPr>
        <w:pStyle w:val="Heading2"/>
        <w:spacing w:before="180"/>
      </w:pPr>
      <w:r>
        <w:t>introduction</w:t>
      </w:r>
    </w:p>
    <w:p w:rsidR="00F87DCC" w:rsidRPr="00F87DCC" w:rsidRDefault="00F87DCC" w:rsidP="00F87DCC">
      <w:pPr>
        <w:pStyle w:val="BodyTextIndent"/>
        <w:rPr>
          <w:kern w:val="16"/>
        </w:rPr>
      </w:pPr>
      <w:r w:rsidRPr="00F87DCC">
        <w:rPr>
          <w:kern w:val="16"/>
        </w:rPr>
        <w:t xml:space="preserve">Consolidation of the equipment of CERN particle accelerators is vital to keep them operating reliably. Accelerator equipment needs consolidation because of wear and tear to systems, loss of key knowledge, </w:t>
      </w:r>
      <w:r w:rsidR="00F32CF9">
        <w:rPr>
          <w:kern w:val="16"/>
        </w:rPr>
        <w:t>un</w:t>
      </w:r>
      <w:r w:rsidR="00F32CF9" w:rsidRPr="00F87DCC">
        <w:rPr>
          <w:kern w:val="16"/>
        </w:rPr>
        <w:t>maintainability</w:t>
      </w:r>
      <w:r w:rsidRPr="00F87DCC">
        <w:rPr>
          <w:kern w:val="16"/>
        </w:rPr>
        <w:t xml:space="preserve"> due to subsystems going out of production. In order to reduce the number of technologies to maintain, there has also been a large amount of rationalisation of the types of technology, sometimes meaning otherwise fit-for-purpose equipment is replaced by other technology choices used elsewhere at CERN.</w:t>
      </w:r>
    </w:p>
    <w:p w:rsidR="00F87DCC" w:rsidRPr="00F87DCC" w:rsidRDefault="00F87DCC" w:rsidP="00F87DCC">
      <w:pPr>
        <w:pStyle w:val="BodyTextIndent"/>
        <w:rPr>
          <w:kern w:val="16"/>
        </w:rPr>
      </w:pPr>
    </w:p>
    <w:p w:rsidR="00F87DCC" w:rsidRPr="00F87DCC" w:rsidRDefault="00F87DCC" w:rsidP="00F87DCC">
      <w:pPr>
        <w:pStyle w:val="BodyTextIndent"/>
        <w:rPr>
          <w:kern w:val="16"/>
        </w:rPr>
      </w:pPr>
      <w:r w:rsidRPr="00F87DCC">
        <w:rPr>
          <w:kern w:val="16"/>
        </w:rPr>
        <w:t>CERN’s three primary hadron beam accelerators are the topic of this paper’s review of the consolidation requests. They consist of</w:t>
      </w:r>
    </w:p>
    <w:p w:rsidR="00F87DCC" w:rsidRPr="00F87DCC" w:rsidRDefault="00F87DCC" w:rsidP="00F87DCC">
      <w:pPr>
        <w:pStyle w:val="BodyTextIndent"/>
        <w:numPr>
          <w:ilvl w:val="0"/>
          <w:numId w:val="15"/>
        </w:numPr>
        <w:ind w:left="426" w:hanging="142"/>
        <w:rPr>
          <w:kern w:val="16"/>
        </w:rPr>
      </w:pPr>
      <w:r w:rsidRPr="00F87DCC">
        <w:rPr>
          <w:kern w:val="16"/>
        </w:rPr>
        <w:t>Linac2 - 50MeV proton linear accelerator, to remain in service up to 2018 (LS1)</w:t>
      </w:r>
      <w:r w:rsidR="009B7DBD">
        <w:rPr>
          <w:kern w:val="16"/>
        </w:rPr>
        <w:t>.</w:t>
      </w:r>
    </w:p>
    <w:p w:rsidR="00F87DCC" w:rsidRPr="00F87DCC" w:rsidRDefault="00F87DCC" w:rsidP="00F87DCC">
      <w:pPr>
        <w:pStyle w:val="BodyTextIndent"/>
        <w:numPr>
          <w:ilvl w:val="0"/>
          <w:numId w:val="15"/>
        </w:numPr>
        <w:ind w:left="426" w:hanging="142"/>
        <w:rPr>
          <w:kern w:val="16"/>
        </w:rPr>
      </w:pPr>
      <w:r w:rsidRPr="00F87DCC">
        <w:rPr>
          <w:kern w:val="16"/>
        </w:rPr>
        <w:t>Linac3 - 4.2MeV/u ion linear accelerator, to remain the future source of ions.</w:t>
      </w:r>
    </w:p>
    <w:p w:rsidR="00F87DCC" w:rsidRDefault="00F87DCC" w:rsidP="008F21DF">
      <w:pPr>
        <w:pStyle w:val="BodyTextIndent"/>
        <w:numPr>
          <w:ilvl w:val="0"/>
          <w:numId w:val="15"/>
        </w:numPr>
        <w:ind w:left="426" w:hanging="142"/>
        <w:rPr>
          <w:kern w:val="16"/>
        </w:rPr>
      </w:pPr>
      <w:r w:rsidRPr="00F87DCC">
        <w:rPr>
          <w:kern w:val="16"/>
        </w:rPr>
        <w:t>Linac4 - 160MeV H- linear accelerator, to become the supplier of hydrogen ions from LS1.</w:t>
      </w:r>
    </w:p>
    <w:p w:rsidR="008F21DF" w:rsidRPr="008F21DF" w:rsidRDefault="008F21DF" w:rsidP="008F21DF">
      <w:pPr>
        <w:pStyle w:val="BodyTextIndent"/>
        <w:ind w:left="284" w:firstLine="0"/>
        <w:rPr>
          <w:kern w:val="16"/>
        </w:rPr>
      </w:pPr>
    </w:p>
    <w:p w:rsidR="00F87DCC" w:rsidRPr="00F87DCC" w:rsidRDefault="00F87DCC" w:rsidP="00F87DCC">
      <w:pPr>
        <w:pStyle w:val="BodyTextIndent"/>
        <w:rPr>
          <w:kern w:val="16"/>
        </w:rPr>
      </w:pPr>
      <w:r w:rsidRPr="00F87DCC">
        <w:rPr>
          <w:kern w:val="16"/>
        </w:rPr>
        <w:t>Linac3 was constructed through a collaborative effort in the early 1990’s and has left a lot of unique equipment.</w:t>
      </w:r>
    </w:p>
    <w:p w:rsidR="00F87DCC" w:rsidRPr="00F87DCC" w:rsidRDefault="00F87DCC" w:rsidP="00F87DCC">
      <w:pPr>
        <w:pStyle w:val="BodyTextIndent"/>
        <w:rPr>
          <w:kern w:val="16"/>
        </w:rPr>
      </w:pPr>
      <w:r w:rsidRPr="00F87DCC">
        <w:rPr>
          <w:kern w:val="16"/>
        </w:rPr>
        <w:t>Linac4 is itself a new facility, but will reuse part of the transfer line presently from Linac2 to the PSB. There are consolidation reque</w:t>
      </w:r>
      <w:r>
        <w:rPr>
          <w:kern w:val="16"/>
        </w:rPr>
        <w:t>sts for equipment in this line.</w:t>
      </w:r>
    </w:p>
    <w:p w:rsidR="00F87DCC" w:rsidRDefault="00F87DCC" w:rsidP="00F87DCC">
      <w:pPr>
        <w:pStyle w:val="BodyTextIndent"/>
        <w:rPr>
          <w:kern w:val="16"/>
        </w:rPr>
      </w:pPr>
      <w:r w:rsidRPr="00F87DCC">
        <w:rPr>
          <w:kern w:val="16"/>
        </w:rPr>
        <w:t>Within this report the main requests for consolidation at these facilities will be summarised, and priorities given from an operational point of view. The operational priorities reflect items that stop the beam production, are single points of failure that cannot easily be overcome, or require a lot of operational support. These priorities are possibly different from those expressed from the equipment group concerned, but both views must be balanced in the prioritization of funding.</w:t>
      </w:r>
    </w:p>
    <w:p w:rsidR="00AC1A8C" w:rsidRDefault="00AC1A8C" w:rsidP="00F87DCC">
      <w:pPr>
        <w:pStyle w:val="BodyTextIndent"/>
        <w:rPr>
          <w:kern w:val="16"/>
        </w:rPr>
      </w:pPr>
      <w:r>
        <w:rPr>
          <w:kern w:val="16"/>
        </w:rPr>
        <w:t xml:space="preserve">Priority 1 is the highest. If no priority is given the </w:t>
      </w:r>
      <w:r w:rsidR="00995FE2">
        <w:rPr>
          <w:kern w:val="16"/>
        </w:rPr>
        <w:t>task is understood to already be</w:t>
      </w:r>
      <w:r>
        <w:rPr>
          <w:kern w:val="16"/>
        </w:rPr>
        <w:t xml:space="preserve"> funded by the consolidation project. The date given indicates the best time for the </w:t>
      </w:r>
      <w:r>
        <w:rPr>
          <w:kern w:val="16"/>
        </w:rPr>
        <w:lastRenderedPageBreak/>
        <w:t>system to be installed on the accelerator or beam line, if this is relevant.</w:t>
      </w:r>
    </w:p>
    <w:p w:rsidR="00165665" w:rsidRDefault="00B21398" w:rsidP="00B21398">
      <w:pPr>
        <w:pStyle w:val="Heading3"/>
      </w:pPr>
      <w:r>
        <w:t>L</w:t>
      </w:r>
      <w:r w:rsidR="00F87DCC">
        <w:t>inac2</w:t>
      </w:r>
    </w:p>
    <w:p w:rsidR="00165665" w:rsidRDefault="00F41E82" w:rsidP="008F21DF">
      <w:pPr>
        <w:pStyle w:val="BodyTextNoIndent"/>
      </w:pPr>
      <w:r>
        <w:t>The consolidation requests for Linac2 can be found in Table</w:t>
      </w:r>
      <w:r w:rsidR="00AC1A8C">
        <w:t xml:space="preserve"> </w:t>
      </w:r>
      <w:r>
        <w:t>1.</w:t>
      </w:r>
      <w:r w:rsidR="00F32CF9">
        <w:t xml:space="preserve"> The very few requests </w:t>
      </w:r>
      <w:r w:rsidR="009B7DBD">
        <w:t>reflect the short time left as part of the injector chain.</w:t>
      </w:r>
    </w:p>
    <w:p w:rsidR="00F41E82" w:rsidRDefault="00B21398" w:rsidP="00B21398">
      <w:pPr>
        <w:pStyle w:val="Heading3"/>
      </w:pPr>
      <w:r>
        <w:t>Transfer Line</w:t>
      </w:r>
    </w:p>
    <w:p w:rsidR="00AC1A8C" w:rsidRDefault="00AC1A8C" w:rsidP="008F21DF">
      <w:pPr>
        <w:pStyle w:val="BodyTextNoIndent"/>
      </w:pPr>
      <w:r>
        <w:t>Part of the LT and LTB transfer lines will continue to be part of the LHC injection chain with Linac4.</w:t>
      </w:r>
    </w:p>
    <w:p w:rsidR="001E3E3B" w:rsidRDefault="009B7DBD" w:rsidP="001E3E3B">
      <w:pPr>
        <w:pStyle w:val="BodyTextIndent"/>
      </w:pPr>
      <w:r>
        <w:t>All the requests are fully justified, and the prioritisation reflects the importance and benefit to operation of having these tasks completed.</w:t>
      </w:r>
    </w:p>
    <w:p w:rsidR="001E3E3B" w:rsidRDefault="001E3E3B" w:rsidP="001E3E3B">
      <w:pPr>
        <w:pStyle w:val="BodyTextIndent"/>
      </w:pPr>
      <w:r w:rsidRPr="001E3E3B">
        <w:t>The exact combination of magnets and power convertors is not fully finalised, and might lead to additional consolidation proposals.</w:t>
      </w:r>
    </w:p>
    <w:p w:rsidR="00AC1A8C" w:rsidRDefault="00AC1A8C" w:rsidP="008F21DF">
      <w:pPr>
        <w:pStyle w:val="BodyTextIndent"/>
      </w:pPr>
      <w:r>
        <w:t>Although not part of the transfer line, EN-ICE request funds to software support for the low energy emittance meter as part of their continuous software update programme.</w:t>
      </w:r>
    </w:p>
    <w:p w:rsidR="00B21398" w:rsidRDefault="00B21398" w:rsidP="00B21398">
      <w:pPr>
        <w:pStyle w:val="Heading3"/>
      </w:pPr>
      <w:r>
        <w:t>Linac3</w:t>
      </w:r>
    </w:p>
    <w:p w:rsidR="00B21398" w:rsidRDefault="00AC1A8C" w:rsidP="008F21DF">
      <w:pPr>
        <w:pStyle w:val="BodyTextNoIndent"/>
      </w:pPr>
      <w:r>
        <w:t>The Linac3 accelerator was built on a tight budget in the early 1990’s, and used in kind contributions from many institutes. Although now fully supported by CERN’s equipment groups, much equipment is now more than 20 years old, and some equipment was recover</w:t>
      </w:r>
      <w:r w:rsidR="00B90A70">
        <w:t>ed from Linac</w:t>
      </w:r>
      <w:r w:rsidR="00995FE2">
        <w:t>1</w:t>
      </w:r>
      <w:r w:rsidR="00B90A70">
        <w:t xml:space="preserve">. Furthermore, institutes often provided unique solutions to requirements (which was divided into machine regions), which in particular for magnets and power convertors lead to a large number of system varieties that are difficult to support and maintain spares for, even if they work reliably today. </w:t>
      </w:r>
    </w:p>
    <w:p w:rsidR="00F41E82" w:rsidRDefault="00F41E82" w:rsidP="00B21398">
      <w:pPr>
        <w:pStyle w:val="Heading3"/>
      </w:pPr>
      <w:r>
        <w:t>Generic PS requests that affect Linacs</w:t>
      </w:r>
    </w:p>
    <w:p w:rsidR="00381753" w:rsidRDefault="00F41E82" w:rsidP="008F21DF">
      <w:pPr>
        <w:pStyle w:val="BodyTextNoIndent"/>
      </w:pPr>
      <w:r>
        <w:t>Several requests are generic for equipment used at CERN and in the PS complex. Amongst these a request from BE-CO to replace the TTL-Blocking timing repeat units is a priority, these systems fail several times a year in the PS complex, and they have no inbuilt diagnostics meaning the cause of faults is often difficult to diagnose</w:t>
      </w:r>
      <w:r w:rsidR="008F21DF">
        <w:t>.</w:t>
      </w:r>
    </w:p>
    <w:p w:rsidR="00535E10" w:rsidRDefault="00535E10" w:rsidP="00F41E82">
      <w:pPr>
        <w:pStyle w:val="BodyTextIndent"/>
      </w:pPr>
    </w:p>
    <w:p w:rsidR="008F21DF" w:rsidRDefault="008F21DF">
      <w:pPr>
        <w:jc w:val="left"/>
        <w:rPr>
          <w:rFonts w:ascii="Times New Roman" w:hAnsi="Times New Roman"/>
          <w:kern w:val="16"/>
          <w:szCs w:val="20"/>
        </w:rPr>
      </w:pPr>
      <w:r>
        <w:rPr>
          <w:kern w:val="16"/>
        </w:rPr>
        <w:br w:type="page"/>
      </w:r>
    </w:p>
    <w:p w:rsidR="00381753" w:rsidRDefault="00381753" w:rsidP="00165665">
      <w:pPr>
        <w:pStyle w:val="BodyTextIndent"/>
        <w:rPr>
          <w:kern w:val="16"/>
        </w:rPr>
        <w:sectPr w:rsidR="00381753" w:rsidSect="007F325F">
          <w:footnotePr>
            <w:pos w:val="beneathText"/>
            <w:numFmt w:val="chicago"/>
          </w:footnotePr>
          <w:endnotePr>
            <w:numFmt w:val="decimal"/>
          </w:endnotePr>
          <w:type w:val="continuous"/>
          <w:pgSz w:w="11909" w:h="16834" w:code="9"/>
          <w:pgMar w:top="2102" w:right="1138" w:bottom="1080" w:left="1134" w:header="2102" w:footer="1080" w:gutter="0"/>
          <w:cols w:num="2" w:space="288"/>
          <w:docGrid w:linePitch="360"/>
        </w:sectPr>
      </w:pPr>
    </w:p>
    <w:p w:rsidR="00535E10" w:rsidRDefault="00535E10" w:rsidP="00535E10">
      <w:pPr>
        <w:pStyle w:val="BodyTextIndent"/>
        <w:ind w:firstLine="0"/>
        <w:rPr>
          <w:kern w:val="16"/>
        </w:rPr>
        <w:sectPr w:rsidR="00535E10" w:rsidSect="007F325F">
          <w:footnotePr>
            <w:pos w:val="beneathText"/>
            <w:numFmt w:val="chicago"/>
          </w:footnotePr>
          <w:endnotePr>
            <w:numFmt w:val="decimal"/>
          </w:endnotePr>
          <w:type w:val="continuous"/>
          <w:pgSz w:w="11909" w:h="16834" w:code="9"/>
          <w:pgMar w:top="2102" w:right="1138" w:bottom="1080" w:left="1134" w:header="2102" w:footer="1080" w:gutter="0"/>
          <w:cols w:num="2" w:space="288"/>
          <w:docGrid w:linePitch="360"/>
        </w:sectPr>
      </w:pPr>
    </w:p>
    <w:tbl>
      <w:tblPr>
        <w:tblW w:w="9855" w:type="dxa"/>
        <w:jc w:val="center"/>
        <w:tblLayout w:type="fixed"/>
        <w:tblLook w:val="04A0" w:firstRow="1" w:lastRow="0" w:firstColumn="1" w:lastColumn="0" w:noHBand="0" w:noVBand="1"/>
      </w:tblPr>
      <w:tblGrid>
        <w:gridCol w:w="9855"/>
      </w:tblGrid>
      <w:tr w:rsidR="00165665" w:rsidRPr="00E56880" w:rsidTr="00974E99">
        <w:trPr>
          <w:jc w:val="center"/>
        </w:trPr>
        <w:tc>
          <w:tcPr>
            <w:tcW w:w="9855" w:type="dxa"/>
          </w:tcPr>
          <w:p w:rsidR="00535E10" w:rsidRDefault="00535E10"/>
          <w:p w:rsidR="00535E10" w:rsidRDefault="00535E10">
            <w:r>
              <w:rPr>
                <w:kern w:val="16"/>
              </w:rPr>
              <w:t>Table 1</w:t>
            </w:r>
            <w:r w:rsidRPr="002207D3">
              <w:rPr>
                <w:kern w:val="16"/>
              </w:rPr>
              <w:t xml:space="preserve">: </w:t>
            </w:r>
            <w:r>
              <w:rPr>
                <w:kern w:val="16"/>
              </w:rPr>
              <w:t>Linac2 consolidation requests</w:t>
            </w:r>
          </w:p>
          <w:tbl>
            <w:tblPr>
              <w:tblStyle w:val="TableGrid"/>
              <w:tblW w:w="96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851"/>
              <w:gridCol w:w="1134"/>
              <w:gridCol w:w="1418"/>
              <w:gridCol w:w="1418"/>
            </w:tblGrid>
            <w:tr w:rsidR="00F634A2" w:rsidTr="00535E10">
              <w:tc>
                <w:tcPr>
                  <w:tcW w:w="4820" w:type="dxa"/>
                  <w:tcBorders>
                    <w:top w:val="single" w:sz="12" w:space="0" w:color="auto"/>
                    <w:bottom w:val="single" w:sz="12" w:space="0" w:color="auto"/>
                  </w:tcBorders>
                </w:tcPr>
                <w:p w:rsidR="00F634A2" w:rsidRDefault="00F634A2" w:rsidP="00F634A2">
                  <w:pPr>
                    <w:pStyle w:val="BodyTextIndent"/>
                    <w:ind w:firstLine="0"/>
                    <w:rPr>
                      <w:kern w:val="16"/>
                    </w:rPr>
                  </w:pPr>
                  <w:r>
                    <w:rPr>
                      <w:kern w:val="16"/>
                    </w:rPr>
                    <w:t>Item</w:t>
                  </w:r>
                </w:p>
              </w:tc>
              <w:tc>
                <w:tcPr>
                  <w:tcW w:w="851" w:type="dxa"/>
                  <w:tcBorders>
                    <w:top w:val="single" w:sz="12" w:space="0" w:color="auto"/>
                    <w:bottom w:val="single" w:sz="12" w:space="0" w:color="auto"/>
                  </w:tcBorders>
                </w:tcPr>
                <w:p w:rsidR="00F634A2" w:rsidRDefault="00F634A2" w:rsidP="00074A20">
                  <w:pPr>
                    <w:pStyle w:val="BodyTextIndent"/>
                    <w:ind w:firstLine="0"/>
                    <w:jc w:val="center"/>
                    <w:rPr>
                      <w:kern w:val="16"/>
                    </w:rPr>
                  </w:pPr>
                  <w:r>
                    <w:rPr>
                      <w:kern w:val="16"/>
                    </w:rPr>
                    <w:t>Priority</w:t>
                  </w:r>
                </w:p>
              </w:tc>
              <w:tc>
                <w:tcPr>
                  <w:tcW w:w="1134" w:type="dxa"/>
                  <w:tcBorders>
                    <w:top w:val="single" w:sz="12" w:space="0" w:color="auto"/>
                    <w:bottom w:val="single" w:sz="12" w:space="0" w:color="auto"/>
                  </w:tcBorders>
                </w:tcPr>
                <w:p w:rsidR="00F634A2" w:rsidRDefault="00F634A2" w:rsidP="00074A20">
                  <w:pPr>
                    <w:pStyle w:val="BodyTextIndent"/>
                    <w:ind w:firstLine="0"/>
                    <w:jc w:val="center"/>
                    <w:rPr>
                      <w:kern w:val="16"/>
                    </w:rPr>
                  </w:pPr>
                  <w:r>
                    <w:rPr>
                      <w:kern w:val="16"/>
                    </w:rPr>
                    <w:t>Group</w:t>
                  </w:r>
                </w:p>
              </w:tc>
              <w:tc>
                <w:tcPr>
                  <w:tcW w:w="1418" w:type="dxa"/>
                  <w:tcBorders>
                    <w:top w:val="single" w:sz="12" w:space="0" w:color="auto"/>
                    <w:bottom w:val="single" w:sz="12" w:space="0" w:color="auto"/>
                  </w:tcBorders>
                </w:tcPr>
                <w:p w:rsidR="00F634A2" w:rsidRDefault="00F634A2" w:rsidP="00074A20">
                  <w:pPr>
                    <w:pStyle w:val="BodyTextIndent"/>
                    <w:ind w:firstLine="0"/>
                    <w:jc w:val="center"/>
                    <w:rPr>
                      <w:kern w:val="16"/>
                    </w:rPr>
                  </w:pPr>
                  <w:r>
                    <w:rPr>
                      <w:kern w:val="16"/>
                    </w:rPr>
                    <w:t>When</w:t>
                  </w:r>
                </w:p>
              </w:tc>
              <w:tc>
                <w:tcPr>
                  <w:tcW w:w="1418" w:type="dxa"/>
                  <w:tcBorders>
                    <w:top w:val="single" w:sz="12" w:space="0" w:color="auto"/>
                    <w:bottom w:val="single" w:sz="12" w:space="0" w:color="auto"/>
                  </w:tcBorders>
                </w:tcPr>
                <w:p w:rsidR="00381753" w:rsidRDefault="00381753" w:rsidP="00381753">
                  <w:pPr>
                    <w:pStyle w:val="BodyTextIndent"/>
                    <w:ind w:firstLine="0"/>
                    <w:jc w:val="center"/>
                    <w:rPr>
                      <w:kern w:val="16"/>
                    </w:rPr>
                  </w:pPr>
                  <w:r>
                    <w:rPr>
                      <w:kern w:val="16"/>
                    </w:rPr>
                    <w:t xml:space="preserve">Approx Cost / </w:t>
                  </w:r>
                </w:p>
                <w:p w:rsidR="00F634A2" w:rsidRDefault="00F634A2" w:rsidP="00381753">
                  <w:pPr>
                    <w:pStyle w:val="BodyTextIndent"/>
                    <w:ind w:firstLine="0"/>
                    <w:jc w:val="center"/>
                    <w:rPr>
                      <w:kern w:val="16"/>
                    </w:rPr>
                  </w:pPr>
                  <w:r>
                    <w:rPr>
                      <w:kern w:val="16"/>
                    </w:rPr>
                    <w:t>Approv</w:t>
                  </w:r>
                  <w:r w:rsidR="00381753">
                    <w:rPr>
                      <w:kern w:val="16"/>
                    </w:rPr>
                    <w:t>ed</w:t>
                  </w:r>
                </w:p>
              </w:tc>
            </w:tr>
            <w:tr w:rsidR="00F634A2" w:rsidTr="00535E10">
              <w:tc>
                <w:tcPr>
                  <w:tcW w:w="4820" w:type="dxa"/>
                  <w:tcBorders>
                    <w:top w:val="single" w:sz="12" w:space="0" w:color="auto"/>
                  </w:tcBorders>
                </w:tcPr>
                <w:p w:rsidR="00F634A2" w:rsidRPr="00F634A2" w:rsidRDefault="00F634A2" w:rsidP="00F634A2">
                  <w:pPr>
                    <w:pStyle w:val="BodyTextIndent"/>
                    <w:ind w:firstLine="0"/>
                    <w:rPr>
                      <w:kern w:val="16"/>
                    </w:rPr>
                  </w:pPr>
                  <w:r w:rsidRPr="00F634A2">
                    <w:rPr>
                      <w:kern w:val="16"/>
                    </w:rPr>
                    <w:t xml:space="preserve">Tank Quadrupole Failure Mitigation EN/MME are not confident on the procedure to make a drift tube. </w:t>
                  </w:r>
                </w:p>
                <w:p w:rsidR="00F634A2" w:rsidRPr="00F634A2" w:rsidRDefault="00F634A2" w:rsidP="00F634A2">
                  <w:pPr>
                    <w:pStyle w:val="BodyTextIndent"/>
                    <w:ind w:firstLine="0"/>
                    <w:rPr>
                      <w:kern w:val="16"/>
                    </w:rPr>
                  </w:pPr>
                  <w:r w:rsidRPr="00F634A2">
                    <w:rPr>
                      <w:kern w:val="16"/>
                    </w:rPr>
                    <w:t>Remake drawings and build a prototype (of a presently leaking DT).</w:t>
                  </w:r>
                </w:p>
                <w:p w:rsidR="00F634A2" w:rsidRDefault="00F634A2" w:rsidP="00F634A2">
                  <w:pPr>
                    <w:pStyle w:val="BodyTextIndent"/>
                    <w:ind w:firstLine="0"/>
                    <w:rPr>
                      <w:kern w:val="16"/>
                    </w:rPr>
                  </w:pPr>
                  <w:r w:rsidRPr="00F634A2">
                    <w:rPr>
                      <w:kern w:val="16"/>
                    </w:rPr>
                    <w:t>Useful only if approved now and finished end 2015.</w:t>
                  </w:r>
                </w:p>
              </w:tc>
              <w:tc>
                <w:tcPr>
                  <w:tcW w:w="851" w:type="dxa"/>
                  <w:tcBorders>
                    <w:top w:val="single" w:sz="12" w:space="0" w:color="auto"/>
                  </w:tcBorders>
                </w:tcPr>
                <w:p w:rsidR="00F634A2" w:rsidRDefault="003451A8" w:rsidP="00074A20">
                  <w:pPr>
                    <w:pStyle w:val="BodyTextIndent"/>
                    <w:ind w:firstLine="0"/>
                    <w:jc w:val="center"/>
                    <w:rPr>
                      <w:kern w:val="16"/>
                    </w:rPr>
                  </w:pPr>
                  <w:r>
                    <w:rPr>
                      <w:kern w:val="16"/>
                    </w:rPr>
                    <w:t>2</w:t>
                  </w:r>
                </w:p>
              </w:tc>
              <w:tc>
                <w:tcPr>
                  <w:tcW w:w="1134" w:type="dxa"/>
                  <w:tcBorders>
                    <w:top w:val="single" w:sz="12" w:space="0" w:color="auto"/>
                  </w:tcBorders>
                </w:tcPr>
                <w:p w:rsidR="00F634A2" w:rsidRDefault="00F634A2" w:rsidP="00074A20">
                  <w:pPr>
                    <w:pStyle w:val="BodyTextIndent"/>
                    <w:ind w:firstLine="0"/>
                    <w:jc w:val="center"/>
                    <w:rPr>
                      <w:kern w:val="16"/>
                    </w:rPr>
                  </w:pPr>
                  <w:r>
                    <w:rPr>
                      <w:kern w:val="16"/>
                    </w:rPr>
                    <w:t xml:space="preserve">BE/ABP EN/MME </w:t>
                  </w:r>
                </w:p>
                <w:p w:rsidR="00F634A2" w:rsidRDefault="00F634A2" w:rsidP="00074A20">
                  <w:pPr>
                    <w:pStyle w:val="BodyTextIndent"/>
                    <w:ind w:firstLine="0"/>
                    <w:jc w:val="center"/>
                    <w:rPr>
                      <w:kern w:val="16"/>
                    </w:rPr>
                  </w:pPr>
                  <w:r>
                    <w:rPr>
                      <w:kern w:val="16"/>
                    </w:rPr>
                    <w:t>+ others</w:t>
                  </w:r>
                </w:p>
              </w:tc>
              <w:tc>
                <w:tcPr>
                  <w:tcW w:w="1418" w:type="dxa"/>
                  <w:tcBorders>
                    <w:top w:val="single" w:sz="12" w:space="0" w:color="auto"/>
                  </w:tcBorders>
                </w:tcPr>
                <w:p w:rsidR="00F634A2" w:rsidRDefault="00AC1A8C" w:rsidP="00074A20">
                  <w:pPr>
                    <w:pStyle w:val="BodyTextIndent"/>
                    <w:ind w:firstLine="0"/>
                    <w:jc w:val="center"/>
                    <w:rPr>
                      <w:kern w:val="16"/>
                    </w:rPr>
                  </w:pPr>
                  <w:r>
                    <w:rPr>
                      <w:kern w:val="16"/>
                    </w:rPr>
                    <w:t>-</w:t>
                  </w:r>
                </w:p>
              </w:tc>
              <w:tc>
                <w:tcPr>
                  <w:tcW w:w="1418" w:type="dxa"/>
                  <w:tcBorders>
                    <w:top w:val="single" w:sz="12" w:space="0" w:color="auto"/>
                  </w:tcBorders>
                </w:tcPr>
                <w:p w:rsidR="00F634A2" w:rsidRDefault="003451A8" w:rsidP="00074A20">
                  <w:pPr>
                    <w:pStyle w:val="BodyTextIndent"/>
                    <w:ind w:firstLine="0"/>
                    <w:jc w:val="center"/>
                    <w:rPr>
                      <w:kern w:val="16"/>
                    </w:rPr>
                  </w:pPr>
                  <w:r>
                    <w:rPr>
                      <w:kern w:val="16"/>
                    </w:rPr>
                    <w:t>No</w:t>
                  </w:r>
                </w:p>
              </w:tc>
            </w:tr>
            <w:tr w:rsidR="00F634A2" w:rsidTr="00535E10">
              <w:tc>
                <w:tcPr>
                  <w:tcW w:w="4820" w:type="dxa"/>
                  <w:tcBorders>
                    <w:bottom w:val="single" w:sz="4" w:space="0" w:color="auto"/>
                  </w:tcBorders>
                </w:tcPr>
                <w:p w:rsidR="003451A8" w:rsidRPr="003451A8" w:rsidRDefault="003451A8" w:rsidP="003451A8">
                  <w:pPr>
                    <w:pStyle w:val="BodyTextIndent"/>
                    <w:ind w:firstLine="0"/>
                    <w:rPr>
                      <w:kern w:val="16"/>
                    </w:rPr>
                  </w:pPr>
                  <w:r w:rsidRPr="003451A8">
                    <w:rPr>
                      <w:kern w:val="16"/>
                    </w:rPr>
                    <w:t>Spare RFQ amplifier.</w:t>
                  </w:r>
                </w:p>
                <w:p w:rsidR="00F634A2" w:rsidRDefault="003451A8" w:rsidP="003451A8">
                  <w:pPr>
                    <w:pStyle w:val="BodyTextIndent"/>
                    <w:ind w:firstLine="0"/>
                    <w:rPr>
                      <w:kern w:val="16"/>
                    </w:rPr>
                  </w:pPr>
                  <w:r w:rsidRPr="003451A8">
                    <w:rPr>
                      <w:kern w:val="16"/>
                    </w:rPr>
                    <w:t>Increases difficulty of repair.</w:t>
                  </w:r>
                </w:p>
              </w:tc>
              <w:tc>
                <w:tcPr>
                  <w:tcW w:w="851" w:type="dxa"/>
                  <w:tcBorders>
                    <w:bottom w:val="single" w:sz="4" w:space="0" w:color="auto"/>
                  </w:tcBorders>
                </w:tcPr>
                <w:p w:rsidR="00F634A2" w:rsidRDefault="00F41E82" w:rsidP="00074A20">
                  <w:pPr>
                    <w:pStyle w:val="BodyTextIndent"/>
                    <w:ind w:firstLine="0"/>
                    <w:jc w:val="center"/>
                    <w:rPr>
                      <w:kern w:val="16"/>
                    </w:rPr>
                  </w:pPr>
                  <w:r>
                    <w:rPr>
                      <w:kern w:val="16"/>
                    </w:rPr>
                    <w:t>-</w:t>
                  </w:r>
                </w:p>
              </w:tc>
              <w:tc>
                <w:tcPr>
                  <w:tcW w:w="1134" w:type="dxa"/>
                  <w:tcBorders>
                    <w:bottom w:val="single" w:sz="4" w:space="0" w:color="auto"/>
                  </w:tcBorders>
                </w:tcPr>
                <w:p w:rsidR="00F634A2" w:rsidRDefault="003451A8" w:rsidP="00074A20">
                  <w:pPr>
                    <w:pStyle w:val="BodyTextIndent"/>
                    <w:ind w:firstLine="0"/>
                    <w:jc w:val="center"/>
                    <w:rPr>
                      <w:kern w:val="16"/>
                    </w:rPr>
                  </w:pPr>
                  <w:r>
                    <w:rPr>
                      <w:kern w:val="16"/>
                    </w:rPr>
                    <w:t>BE/RF</w:t>
                  </w:r>
                </w:p>
              </w:tc>
              <w:tc>
                <w:tcPr>
                  <w:tcW w:w="1418" w:type="dxa"/>
                  <w:tcBorders>
                    <w:bottom w:val="single" w:sz="4" w:space="0" w:color="auto"/>
                  </w:tcBorders>
                </w:tcPr>
                <w:p w:rsidR="00F634A2" w:rsidRDefault="00AC1A8C" w:rsidP="00074A20">
                  <w:pPr>
                    <w:pStyle w:val="BodyTextIndent"/>
                    <w:ind w:firstLine="0"/>
                    <w:jc w:val="center"/>
                    <w:rPr>
                      <w:kern w:val="16"/>
                    </w:rPr>
                  </w:pPr>
                  <w:r>
                    <w:rPr>
                      <w:kern w:val="16"/>
                    </w:rPr>
                    <w:t>-</w:t>
                  </w:r>
                </w:p>
              </w:tc>
              <w:tc>
                <w:tcPr>
                  <w:tcW w:w="1418" w:type="dxa"/>
                  <w:tcBorders>
                    <w:bottom w:val="single" w:sz="4" w:space="0" w:color="auto"/>
                  </w:tcBorders>
                </w:tcPr>
                <w:p w:rsidR="00F634A2" w:rsidRDefault="00F41E82" w:rsidP="00074A20">
                  <w:pPr>
                    <w:pStyle w:val="BodyTextIndent"/>
                    <w:ind w:firstLine="0"/>
                    <w:jc w:val="center"/>
                    <w:rPr>
                      <w:kern w:val="16"/>
                    </w:rPr>
                  </w:pPr>
                  <w:r>
                    <w:rPr>
                      <w:kern w:val="16"/>
                    </w:rPr>
                    <w:t>-</w:t>
                  </w:r>
                </w:p>
              </w:tc>
            </w:tr>
            <w:tr w:rsidR="00F634A2" w:rsidTr="00535E10">
              <w:tc>
                <w:tcPr>
                  <w:tcW w:w="4820" w:type="dxa"/>
                  <w:tcBorders>
                    <w:bottom w:val="single" w:sz="12" w:space="0" w:color="auto"/>
                  </w:tcBorders>
                </w:tcPr>
                <w:p w:rsidR="00F634A2" w:rsidRDefault="00F634A2" w:rsidP="00F634A2">
                  <w:pPr>
                    <w:pStyle w:val="BodyTextIndent"/>
                    <w:ind w:firstLine="0"/>
                    <w:rPr>
                      <w:kern w:val="16"/>
                    </w:rPr>
                  </w:pPr>
                </w:p>
              </w:tc>
              <w:tc>
                <w:tcPr>
                  <w:tcW w:w="851" w:type="dxa"/>
                  <w:tcBorders>
                    <w:bottom w:val="single" w:sz="12" w:space="0" w:color="auto"/>
                  </w:tcBorders>
                </w:tcPr>
                <w:p w:rsidR="00F634A2" w:rsidRDefault="00F634A2" w:rsidP="00074A20">
                  <w:pPr>
                    <w:pStyle w:val="BodyTextIndent"/>
                    <w:ind w:firstLine="0"/>
                    <w:jc w:val="center"/>
                    <w:rPr>
                      <w:kern w:val="16"/>
                    </w:rPr>
                  </w:pPr>
                </w:p>
              </w:tc>
              <w:tc>
                <w:tcPr>
                  <w:tcW w:w="1134" w:type="dxa"/>
                  <w:tcBorders>
                    <w:bottom w:val="single" w:sz="12" w:space="0" w:color="auto"/>
                  </w:tcBorders>
                </w:tcPr>
                <w:p w:rsidR="00F634A2" w:rsidRDefault="00F634A2" w:rsidP="00074A20">
                  <w:pPr>
                    <w:pStyle w:val="BodyTextIndent"/>
                    <w:ind w:firstLine="0"/>
                    <w:jc w:val="center"/>
                    <w:rPr>
                      <w:kern w:val="16"/>
                    </w:rPr>
                  </w:pPr>
                </w:p>
              </w:tc>
              <w:tc>
                <w:tcPr>
                  <w:tcW w:w="1418" w:type="dxa"/>
                  <w:tcBorders>
                    <w:bottom w:val="single" w:sz="12" w:space="0" w:color="auto"/>
                  </w:tcBorders>
                </w:tcPr>
                <w:p w:rsidR="00F634A2" w:rsidRDefault="00F634A2" w:rsidP="00074A20">
                  <w:pPr>
                    <w:pStyle w:val="BodyTextIndent"/>
                    <w:ind w:firstLine="0"/>
                    <w:jc w:val="center"/>
                    <w:rPr>
                      <w:kern w:val="16"/>
                    </w:rPr>
                  </w:pPr>
                </w:p>
              </w:tc>
              <w:tc>
                <w:tcPr>
                  <w:tcW w:w="1418" w:type="dxa"/>
                  <w:tcBorders>
                    <w:bottom w:val="single" w:sz="12" w:space="0" w:color="auto"/>
                  </w:tcBorders>
                </w:tcPr>
                <w:p w:rsidR="00F634A2" w:rsidRDefault="00F634A2" w:rsidP="00074A20">
                  <w:pPr>
                    <w:pStyle w:val="BodyTextIndent"/>
                    <w:ind w:firstLine="0"/>
                    <w:jc w:val="center"/>
                    <w:rPr>
                      <w:kern w:val="16"/>
                    </w:rPr>
                  </w:pPr>
                </w:p>
              </w:tc>
            </w:tr>
          </w:tbl>
          <w:p w:rsidR="00165665" w:rsidRPr="002207D3" w:rsidRDefault="00165665" w:rsidP="00074A20">
            <w:pPr>
              <w:pStyle w:val="BodyTextIndent"/>
              <w:ind w:firstLine="0"/>
              <w:jc w:val="center"/>
              <w:rPr>
                <w:kern w:val="16"/>
              </w:rPr>
            </w:pPr>
          </w:p>
        </w:tc>
      </w:tr>
    </w:tbl>
    <w:p w:rsidR="00535E10" w:rsidRDefault="00535E10"/>
    <w:p w:rsidR="00974E99" w:rsidRDefault="00974E99" w:rsidP="008F21DF">
      <w:pPr>
        <w:jc w:val="left"/>
      </w:pPr>
    </w:p>
    <w:tbl>
      <w:tblPr>
        <w:tblW w:w="9855" w:type="dxa"/>
        <w:jc w:val="center"/>
        <w:tblLayout w:type="fixed"/>
        <w:tblLook w:val="04A0" w:firstRow="1" w:lastRow="0" w:firstColumn="1" w:lastColumn="0" w:noHBand="0" w:noVBand="1"/>
      </w:tblPr>
      <w:tblGrid>
        <w:gridCol w:w="9855"/>
      </w:tblGrid>
      <w:tr w:rsidR="00165665" w:rsidRPr="00D813F5" w:rsidTr="00974E99">
        <w:trPr>
          <w:jc w:val="center"/>
        </w:trPr>
        <w:tc>
          <w:tcPr>
            <w:tcW w:w="9855" w:type="dxa"/>
          </w:tcPr>
          <w:p w:rsidR="00535E10" w:rsidRDefault="00974E99" w:rsidP="00535E10">
            <w:pPr>
              <w:pStyle w:val="FigureCaptionMultiLine"/>
              <w:rPr>
                <w:kern w:val="16"/>
              </w:rPr>
            </w:pPr>
            <w:r>
              <w:rPr>
                <w:rFonts w:ascii="Times" w:hAnsi="Times"/>
                <w:szCs w:val="24"/>
              </w:rPr>
              <w:br w:type="page"/>
            </w:r>
            <w:r w:rsidR="00535E10">
              <w:rPr>
                <w:kern w:val="16"/>
              </w:rPr>
              <w:t>Table 2</w:t>
            </w:r>
            <w:r w:rsidR="00535E10" w:rsidRPr="002207D3">
              <w:rPr>
                <w:kern w:val="16"/>
              </w:rPr>
              <w:t xml:space="preserve">: </w:t>
            </w:r>
            <w:r w:rsidR="00535E10">
              <w:rPr>
                <w:kern w:val="16"/>
              </w:rPr>
              <w:t>LT-LTB-BI Linac to PSB transfer line consolidation requests</w:t>
            </w:r>
          </w:p>
          <w:tbl>
            <w:tblPr>
              <w:tblStyle w:val="TableGrid"/>
              <w:tblW w:w="96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851"/>
              <w:gridCol w:w="1134"/>
              <w:gridCol w:w="1418"/>
              <w:gridCol w:w="1418"/>
            </w:tblGrid>
            <w:tr w:rsidR="00381753" w:rsidTr="00535E10">
              <w:tc>
                <w:tcPr>
                  <w:tcW w:w="4820" w:type="dxa"/>
                  <w:tcBorders>
                    <w:top w:val="single" w:sz="12" w:space="0" w:color="auto"/>
                    <w:bottom w:val="single" w:sz="12" w:space="0" w:color="auto"/>
                  </w:tcBorders>
                </w:tcPr>
                <w:p w:rsidR="00381753" w:rsidRDefault="00381753" w:rsidP="00381753">
                  <w:pPr>
                    <w:pStyle w:val="BodyTextIndent"/>
                    <w:ind w:firstLine="0"/>
                    <w:rPr>
                      <w:kern w:val="16"/>
                    </w:rPr>
                  </w:pPr>
                  <w:r>
                    <w:rPr>
                      <w:kern w:val="16"/>
                    </w:rPr>
                    <w:t>Item</w:t>
                  </w:r>
                </w:p>
              </w:tc>
              <w:tc>
                <w:tcPr>
                  <w:tcW w:w="851" w:type="dxa"/>
                  <w:tcBorders>
                    <w:top w:val="single" w:sz="12" w:space="0" w:color="auto"/>
                    <w:bottom w:val="single" w:sz="12" w:space="0" w:color="auto"/>
                  </w:tcBorders>
                </w:tcPr>
                <w:p w:rsidR="00381753" w:rsidRDefault="00381753" w:rsidP="00381753">
                  <w:pPr>
                    <w:pStyle w:val="BodyTextIndent"/>
                    <w:ind w:firstLine="0"/>
                    <w:jc w:val="center"/>
                    <w:rPr>
                      <w:kern w:val="16"/>
                    </w:rPr>
                  </w:pPr>
                  <w:r>
                    <w:rPr>
                      <w:kern w:val="16"/>
                    </w:rPr>
                    <w:t>Priority</w:t>
                  </w:r>
                </w:p>
              </w:tc>
              <w:tc>
                <w:tcPr>
                  <w:tcW w:w="1134" w:type="dxa"/>
                  <w:tcBorders>
                    <w:top w:val="single" w:sz="12" w:space="0" w:color="auto"/>
                    <w:bottom w:val="single" w:sz="12" w:space="0" w:color="auto"/>
                  </w:tcBorders>
                </w:tcPr>
                <w:p w:rsidR="00381753" w:rsidRDefault="00381753" w:rsidP="00381753">
                  <w:pPr>
                    <w:pStyle w:val="BodyTextIndent"/>
                    <w:ind w:firstLine="0"/>
                    <w:jc w:val="center"/>
                    <w:rPr>
                      <w:kern w:val="16"/>
                    </w:rPr>
                  </w:pPr>
                  <w:r>
                    <w:rPr>
                      <w:kern w:val="16"/>
                    </w:rPr>
                    <w:t>Group</w:t>
                  </w:r>
                </w:p>
              </w:tc>
              <w:tc>
                <w:tcPr>
                  <w:tcW w:w="1418" w:type="dxa"/>
                  <w:tcBorders>
                    <w:top w:val="single" w:sz="12" w:space="0" w:color="auto"/>
                    <w:bottom w:val="single" w:sz="12" w:space="0" w:color="auto"/>
                  </w:tcBorders>
                </w:tcPr>
                <w:p w:rsidR="00381753" w:rsidRDefault="00381753" w:rsidP="00381753">
                  <w:pPr>
                    <w:pStyle w:val="BodyTextIndent"/>
                    <w:ind w:firstLine="0"/>
                    <w:jc w:val="center"/>
                    <w:rPr>
                      <w:kern w:val="16"/>
                    </w:rPr>
                  </w:pPr>
                  <w:r>
                    <w:rPr>
                      <w:kern w:val="16"/>
                    </w:rPr>
                    <w:t>When</w:t>
                  </w:r>
                </w:p>
              </w:tc>
              <w:tc>
                <w:tcPr>
                  <w:tcW w:w="1418" w:type="dxa"/>
                  <w:tcBorders>
                    <w:top w:val="single" w:sz="12" w:space="0" w:color="auto"/>
                    <w:bottom w:val="single" w:sz="12" w:space="0" w:color="auto"/>
                  </w:tcBorders>
                </w:tcPr>
                <w:p w:rsidR="00381753" w:rsidRDefault="00381753" w:rsidP="00381753">
                  <w:pPr>
                    <w:pStyle w:val="BodyTextIndent"/>
                    <w:ind w:firstLine="0"/>
                    <w:jc w:val="center"/>
                    <w:rPr>
                      <w:kern w:val="16"/>
                    </w:rPr>
                  </w:pPr>
                  <w:r>
                    <w:rPr>
                      <w:kern w:val="16"/>
                    </w:rPr>
                    <w:t>Approved</w:t>
                  </w:r>
                </w:p>
              </w:tc>
            </w:tr>
            <w:tr w:rsidR="00381753" w:rsidTr="00535E10">
              <w:tc>
                <w:tcPr>
                  <w:tcW w:w="4820" w:type="dxa"/>
                  <w:tcBorders>
                    <w:top w:val="single" w:sz="12" w:space="0" w:color="auto"/>
                  </w:tcBorders>
                </w:tcPr>
                <w:p w:rsidR="00381753" w:rsidRPr="00381753" w:rsidRDefault="00381753" w:rsidP="00381753">
                  <w:pPr>
                    <w:pStyle w:val="BodyTextIndent"/>
                    <w:ind w:firstLine="0"/>
                    <w:rPr>
                      <w:kern w:val="16"/>
                    </w:rPr>
                  </w:pPr>
                  <w:r w:rsidRPr="00381753">
                    <w:rPr>
                      <w:kern w:val="16"/>
                    </w:rPr>
                    <w:t>Replacement magnets (spares, and operational)</w:t>
                  </w:r>
                </w:p>
                <w:p w:rsidR="00381753" w:rsidRDefault="00381753" w:rsidP="00381753">
                  <w:pPr>
                    <w:pStyle w:val="BodyTextIndent"/>
                    <w:ind w:firstLine="0"/>
                    <w:rPr>
                      <w:kern w:val="16"/>
                    </w:rPr>
                  </w:pPr>
                  <w:r w:rsidRPr="00381753">
                    <w:rPr>
                      <w:rFonts w:ascii="Times" w:hAnsi="Times"/>
                      <w:kern w:val="16"/>
                      <w:szCs w:val="24"/>
                    </w:rPr>
                    <w:t>(Some convertors are replaced under LIU)</w:t>
                  </w:r>
                </w:p>
              </w:tc>
              <w:tc>
                <w:tcPr>
                  <w:tcW w:w="851" w:type="dxa"/>
                  <w:tcBorders>
                    <w:top w:val="single" w:sz="12" w:space="0" w:color="auto"/>
                  </w:tcBorders>
                </w:tcPr>
                <w:p w:rsidR="00381753" w:rsidRDefault="00381753" w:rsidP="00381753">
                  <w:pPr>
                    <w:pStyle w:val="BodyTextIndent"/>
                    <w:ind w:firstLine="0"/>
                    <w:jc w:val="center"/>
                    <w:rPr>
                      <w:kern w:val="16"/>
                    </w:rPr>
                  </w:pPr>
                  <w:r>
                    <w:rPr>
                      <w:kern w:val="16"/>
                    </w:rPr>
                    <w:t>-</w:t>
                  </w:r>
                </w:p>
              </w:tc>
              <w:tc>
                <w:tcPr>
                  <w:tcW w:w="1134" w:type="dxa"/>
                  <w:tcBorders>
                    <w:top w:val="single" w:sz="12" w:space="0" w:color="auto"/>
                  </w:tcBorders>
                </w:tcPr>
                <w:p w:rsidR="00381753" w:rsidRDefault="00381753" w:rsidP="006E17A4">
                  <w:pPr>
                    <w:pStyle w:val="BodyTextIndent"/>
                    <w:ind w:firstLine="0"/>
                    <w:jc w:val="center"/>
                    <w:rPr>
                      <w:kern w:val="16"/>
                    </w:rPr>
                  </w:pPr>
                  <w:r>
                    <w:rPr>
                      <w:kern w:val="16"/>
                    </w:rPr>
                    <w:t>TE</w:t>
                  </w:r>
                  <w:r w:rsidR="006E17A4">
                    <w:rPr>
                      <w:kern w:val="16"/>
                    </w:rPr>
                    <w:t>-</w:t>
                  </w:r>
                  <w:r>
                    <w:rPr>
                      <w:kern w:val="16"/>
                    </w:rPr>
                    <w:t>MSC</w:t>
                  </w:r>
                </w:p>
              </w:tc>
              <w:tc>
                <w:tcPr>
                  <w:tcW w:w="1418" w:type="dxa"/>
                  <w:tcBorders>
                    <w:top w:val="single" w:sz="12" w:space="0" w:color="auto"/>
                  </w:tcBorders>
                </w:tcPr>
                <w:p w:rsidR="00381753" w:rsidRDefault="00381753" w:rsidP="00381753">
                  <w:pPr>
                    <w:pStyle w:val="BodyTextIndent"/>
                    <w:ind w:firstLine="0"/>
                    <w:jc w:val="center"/>
                    <w:rPr>
                      <w:kern w:val="16"/>
                    </w:rPr>
                  </w:pPr>
                  <w:r>
                    <w:rPr>
                      <w:kern w:val="16"/>
                    </w:rPr>
                    <w:t>LS2</w:t>
                  </w:r>
                </w:p>
              </w:tc>
              <w:tc>
                <w:tcPr>
                  <w:tcW w:w="1418" w:type="dxa"/>
                  <w:tcBorders>
                    <w:top w:val="single" w:sz="12" w:space="0" w:color="auto"/>
                  </w:tcBorders>
                </w:tcPr>
                <w:p w:rsidR="00381753" w:rsidRDefault="00381753" w:rsidP="00381753">
                  <w:pPr>
                    <w:pStyle w:val="BodyTextIndent"/>
                    <w:ind w:firstLine="0"/>
                    <w:jc w:val="center"/>
                    <w:rPr>
                      <w:kern w:val="16"/>
                    </w:rPr>
                  </w:pPr>
                  <w:r>
                    <w:rPr>
                      <w:kern w:val="16"/>
                    </w:rPr>
                    <w:t>&gt;1300</w:t>
                  </w:r>
                  <w:r w:rsidR="006E17A4">
                    <w:rPr>
                      <w:kern w:val="16"/>
                    </w:rPr>
                    <w:t xml:space="preserve"> </w:t>
                  </w:r>
                  <w:r>
                    <w:rPr>
                      <w:kern w:val="16"/>
                    </w:rPr>
                    <w:t>kCHF</w:t>
                  </w:r>
                </w:p>
                <w:p w:rsidR="00381753" w:rsidRDefault="00381753" w:rsidP="00381753">
                  <w:pPr>
                    <w:pStyle w:val="BodyTextIndent"/>
                    <w:ind w:firstLine="0"/>
                    <w:jc w:val="center"/>
                    <w:rPr>
                      <w:kern w:val="16"/>
                    </w:rPr>
                  </w:pPr>
                  <w:r>
                    <w:rPr>
                      <w:kern w:val="16"/>
                    </w:rPr>
                    <w:t>Yes</w:t>
                  </w:r>
                </w:p>
              </w:tc>
            </w:tr>
            <w:tr w:rsidR="00381753" w:rsidTr="00535E10">
              <w:tc>
                <w:tcPr>
                  <w:tcW w:w="4820" w:type="dxa"/>
                  <w:tcBorders>
                    <w:bottom w:val="single" w:sz="4" w:space="0" w:color="auto"/>
                  </w:tcBorders>
                </w:tcPr>
                <w:p w:rsidR="00381753" w:rsidRPr="00381753" w:rsidRDefault="00381753" w:rsidP="00381753">
                  <w:pPr>
                    <w:pStyle w:val="BodyTextIndent"/>
                    <w:ind w:firstLine="0"/>
                    <w:rPr>
                      <w:kern w:val="16"/>
                    </w:rPr>
                  </w:pPr>
                  <w:r w:rsidRPr="00381753">
                    <w:rPr>
                      <w:kern w:val="16"/>
                    </w:rPr>
                    <w:t>Power Con</w:t>
                  </w:r>
                  <w:r>
                    <w:rPr>
                      <w:kern w:val="16"/>
                    </w:rPr>
                    <w:t>vertor</w:t>
                  </w:r>
                  <w:r w:rsidRPr="00381753">
                    <w:rPr>
                      <w:kern w:val="16"/>
                    </w:rPr>
                    <w:t xml:space="preserve"> Controls to FGC</w:t>
                  </w:r>
                  <w:r>
                    <w:rPr>
                      <w:kern w:val="16"/>
                    </w:rPr>
                    <w:t>3</w:t>
                  </w:r>
                  <w:r w:rsidRPr="00381753">
                    <w:rPr>
                      <w:kern w:val="16"/>
                    </w:rPr>
                    <w:t xml:space="preserve"> for ~100 convertors</w:t>
                  </w:r>
                </w:p>
                <w:p w:rsidR="00381753" w:rsidRPr="00381753" w:rsidRDefault="00381753" w:rsidP="00381753">
                  <w:pPr>
                    <w:pStyle w:val="BodyTextIndent"/>
                    <w:ind w:firstLine="0"/>
                    <w:rPr>
                      <w:kern w:val="16"/>
                    </w:rPr>
                  </w:pPr>
                  <w:r w:rsidRPr="00381753">
                    <w:rPr>
                      <w:kern w:val="16"/>
                    </w:rPr>
                    <w:t>Would eradicate MIL1553 from Linac4 up to PSB injection</w:t>
                  </w:r>
                </w:p>
                <w:p w:rsidR="00381753" w:rsidRPr="00381753" w:rsidRDefault="00381753" w:rsidP="00381753">
                  <w:pPr>
                    <w:pStyle w:val="BodyTextIndent"/>
                    <w:ind w:firstLine="0"/>
                    <w:rPr>
                      <w:kern w:val="16"/>
                    </w:rPr>
                  </w:pPr>
                  <w:r w:rsidRPr="00381753">
                    <w:rPr>
                      <w:kern w:val="16"/>
                    </w:rPr>
                    <w:t>Decreased maintenance diversity for EPC.</w:t>
                  </w:r>
                </w:p>
                <w:p w:rsidR="00381753" w:rsidRDefault="00381753" w:rsidP="00381753">
                  <w:pPr>
                    <w:pStyle w:val="BodyTextIndent"/>
                    <w:ind w:firstLine="0"/>
                    <w:rPr>
                      <w:kern w:val="16"/>
                    </w:rPr>
                  </w:pPr>
                  <w:r w:rsidRPr="00381753">
                    <w:rPr>
                      <w:rFonts w:ascii="Times" w:hAnsi="Times"/>
                      <w:kern w:val="16"/>
                      <w:szCs w:val="24"/>
                    </w:rPr>
                    <w:t>Improve</w:t>
                  </w:r>
                  <w:r>
                    <w:rPr>
                      <w:rFonts w:ascii="Times" w:hAnsi="Times"/>
                      <w:kern w:val="16"/>
                      <w:szCs w:val="24"/>
                    </w:rPr>
                    <w:t>s ion LBS measurements post LS2 = higher operational priority.</w:t>
                  </w:r>
                </w:p>
              </w:tc>
              <w:tc>
                <w:tcPr>
                  <w:tcW w:w="851" w:type="dxa"/>
                  <w:tcBorders>
                    <w:bottom w:val="single" w:sz="4" w:space="0" w:color="auto"/>
                  </w:tcBorders>
                </w:tcPr>
                <w:p w:rsidR="00381753" w:rsidRDefault="00381753" w:rsidP="00381753">
                  <w:pPr>
                    <w:pStyle w:val="BodyTextIndent"/>
                    <w:ind w:firstLine="0"/>
                    <w:jc w:val="center"/>
                    <w:rPr>
                      <w:kern w:val="16"/>
                    </w:rPr>
                  </w:pPr>
                  <w:r>
                    <w:rPr>
                      <w:kern w:val="16"/>
                    </w:rPr>
                    <w:t>2</w:t>
                  </w:r>
                </w:p>
              </w:tc>
              <w:tc>
                <w:tcPr>
                  <w:tcW w:w="1134" w:type="dxa"/>
                  <w:tcBorders>
                    <w:bottom w:val="single" w:sz="4" w:space="0" w:color="auto"/>
                  </w:tcBorders>
                </w:tcPr>
                <w:p w:rsidR="00381753" w:rsidRDefault="00381753" w:rsidP="006E17A4">
                  <w:pPr>
                    <w:pStyle w:val="BodyTextIndent"/>
                    <w:ind w:firstLine="0"/>
                    <w:jc w:val="center"/>
                    <w:rPr>
                      <w:kern w:val="16"/>
                    </w:rPr>
                  </w:pPr>
                  <w:r>
                    <w:rPr>
                      <w:kern w:val="16"/>
                    </w:rPr>
                    <w:t>TE</w:t>
                  </w:r>
                  <w:r w:rsidR="006E17A4">
                    <w:rPr>
                      <w:kern w:val="16"/>
                    </w:rPr>
                    <w:t>-</w:t>
                  </w:r>
                  <w:r>
                    <w:rPr>
                      <w:kern w:val="16"/>
                    </w:rPr>
                    <w:t>EPC</w:t>
                  </w:r>
                </w:p>
              </w:tc>
              <w:tc>
                <w:tcPr>
                  <w:tcW w:w="1418" w:type="dxa"/>
                  <w:tcBorders>
                    <w:bottom w:val="single" w:sz="4" w:space="0" w:color="auto"/>
                  </w:tcBorders>
                </w:tcPr>
                <w:p w:rsidR="00381753" w:rsidRDefault="00381753" w:rsidP="00381753">
                  <w:pPr>
                    <w:pStyle w:val="BodyTextIndent"/>
                    <w:ind w:firstLine="0"/>
                    <w:jc w:val="center"/>
                    <w:rPr>
                      <w:kern w:val="16"/>
                    </w:rPr>
                  </w:pPr>
                  <w:r>
                    <w:rPr>
                      <w:kern w:val="16"/>
                    </w:rPr>
                    <w:t>LS2</w:t>
                  </w:r>
                </w:p>
              </w:tc>
              <w:tc>
                <w:tcPr>
                  <w:tcW w:w="1418" w:type="dxa"/>
                  <w:tcBorders>
                    <w:bottom w:val="single" w:sz="4" w:space="0" w:color="auto"/>
                  </w:tcBorders>
                </w:tcPr>
                <w:p w:rsidR="00381753" w:rsidRDefault="00381753" w:rsidP="00381753">
                  <w:pPr>
                    <w:pStyle w:val="BodyTextIndent"/>
                    <w:ind w:firstLine="0"/>
                    <w:jc w:val="center"/>
                    <w:rPr>
                      <w:kern w:val="16"/>
                    </w:rPr>
                  </w:pPr>
                  <w:r>
                    <w:rPr>
                      <w:kern w:val="16"/>
                    </w:rPr>
                    <w:t>800</w:t>
                  </w:r>
                  <w:r w:rsidR="006E17A4">
                    <w:rPr>
                      <w:kern w:val="16"/>
                    </w:rPr>
                    <w:t xml:space="preserve"> kCHF</w:t>
                  </w:r>
                </w:p>
                <w:p w:rsidR="00381753" w:rsidRDefault="00381753" w:rsidP="00381753">
                  <w:pPr>
                    <w:pStyle w:val="BodyTextIndent"/>
                    <w:ind w:firstLine="0"/>
                    <w:jc w:val="center"/>
                    <w:rPr>
                      <w:kern w:val="16"/>
                    </w:rPr>
                  </w:pPr>
                  <w:r>
                    <w:rPr>
                      <w:kern w:val="16"/>
                    </w:rPr>
                    <w:t>No</w:t>
                  </w:r>
                </w:p>
              </w:tc>
            </w:tr>
            <w:tr w:rsidR="006E17A4" w:rsidTr="00535E10">
              <w:tc>
                <w:tcPr>
                  <w:tcW w:w="4820" w:type="dxa"/>
                </w:tcPr>
                <w:p w:rsidR="006E17A4" w:rsidRPr="006E17A4" w:rsidRDefault="006E17A4" w:rsidP="006E17A4">
                  <w:pPr>
                    <w:pStyle w:val="BodyTextIndent"/>
                    <w:ind w:firstLine="0"/>
                    <w:rPr>
                      <w:kern w:val="16"/>
                    </w:rPr>
                  </w:pPr>
                  <w:r w:rsidRPr="006E17A4">
                    <w:rPr>
                      <w:kern w:val="16"/>
                    </w:rPr>
                    <w:t>Turbo Pumps</w:t>
                  </w:r>
                </w:p>
                <w:p w:rsidR="006E17A4" w:rsidRPr="006E17A4" w:rsidRDefault="006E17A4" w:rsidP="006E17A4">
                  <w:pPr>
                    <w:pStyle w:val="BodyTextIndent"/>
                    <w:ind w:firstLine="0"/>
                    <w:rPr>
                      <w:kern w:val="16"/>
                    </w:rPr>
                  </w:pPr>
                  <w:r w:rsidRPr="006E17A4">
                    <w:rPr>
                      <w:kern w:val="16"/>
                    </w:rPr>
                    <w:t>Not active – used for pre-pumping, leak detection. If failing these pumps are inaccessible – leading to longer downtime.</w:t>
                  </w:r>
                </w:p>
                <w:p w:rsidR="006E17A4" w:rsidRPr="006E17A4" w:rsidRDefault="006E17A4" w:rsidP="006E17A4">
                  <w:pPr>
                    <w:pStyle w:val="BodyTextIndent"/>
                    <w:ind w:firstLine="0"/>
                    <w:rPr>
                      <w:kern w:val="16"/>
                    </w:rPr>
                  </w:pPr>
                  <w:r w:rsidRPr="006E17A4">
                    <w:rPr>
                      <w:rFonts w:ascii="Times" w:hAnsi="Times"/>
                      <w:kern w:val="16"/>
                      <w:szCs w:val="24"/>
                    </w:rPr>
                    <w:t>VSC would prioritise these in their consolidation.</w:t>
                  </w:r>
                </w:p>
              </w:tc>
              <w:tc>
                <w:tcPr>
                  <w:tcW w:w="851" w:type="dxa"/>
                </w:tcPr>
                <w:p w:rsidR="006E17A4" w:rsidRDefault="006E17A4" w:rsidP="00381753">
                  <w:pPr>
                    <w:pStyle w:val="BodyTextIndent"/>
                    <w:ind w:firstLine="0"/>
                    <w:jc w:val="center"/>
                    <w:rPr>
                      <w:kern w:val="16"/>
                    </w:rPr>
                  </w:pPr>
                  <w:r>
                    <w:rPr>
                      <w:kern w:val="16"/>
                    </w:rPr>
                    <w:t>1</w:t>
                  </w:r>
                </w:p>
              </w:tc>
              <w:tc>
                <w:tcPr>
                  <w:tcW w:w="1134" w:type="dxa"/>
                </w:tcPr>
                <w:p w:rsidR="006E17A4" w:rsidRDefault="006E17A4" w:rsidP="00381753">
                  <w:pPr>
                    <w:pStyle w:val="BodyTextIndent"/>
                    <w:ind w:firstLine="0"/>
                    <w:jc w:val="center"/>
                    <w:rPr>
                      <w:kern w:val="16"/>
                    </w:rPr>
                  </w:pPr>
                  <w:r>
                    <w:rPr>
                      <w:kern w:val="16"/>
                    </w:rPr>
                    <w:t>TE-VSC</w:t>
                  </w:r>
                </w:p>
              </w:tc>
              <w:tc>
                <w:tcPr>
                  <w:tcW w:w="1418" w:type="dxa"/>
                </w:tcPr>
                <w:p w:rsidR="006E17A4" w:rsidRDefault="006E17A4" w:rsidP="00381753">
                  <w:pPr>
                    <w:pStyle w:val="BodyTextIndent"/>
                    <w:ind w:firstLine="0"/>
                    <w:jc w:val="center"/>
                    <w:rPr>
                      <w:kern w:val="16"/>
                    </w:rPr>
                  </w:pPr>
                  <w:r>
                    <w:rPr>
                      <w:kern w:val="16"/>
                    </w:rPr>
                    <w:t>LS2</w:t>
                  </w:r>
                </w:p>
              </w:tc>
              <w:tc>
                <w:tcPr>
                  <w:tcW w:w="1418" w:type="dxa"/>
                </w:tcPr>
                <w:p w:rsidR="006E17A4" w:rsidRDefault="006E17A4" w:rsidP="00381753">
                  <w:pPr>
                    <w:pStyle w:val="BodyTextIndent"/>
                    <w:ind w:firstLine="0"/>
                    <w:jc w:val="center"/>
                    <w:rPr>
                      <w:kern w:val="16"/>
                    </w:rPr>
                  </w:pPr>
                  <w:r>
                    <w:rPr>
                      <w:kern w:val="16"/>
                    </w:rPr>
                    <w:t>540 kCHF</w:t>
                  </w:r>
                </w:p>
                <w:p w:rsidR="006E17A4" w:rsidRDefault="006E17A4" w:rsidP="00381753">
                  <w:pPr>
                    <w:pStyle w:val="BodyTextIndent"/>
                    <w:ind w:firstLine="0"/>
                    <w:jc w:val="center"/>
                    <w:rPr>
                      <w:kern w:val="16"/>
                    </w:rPr>
                  </w:pPr>
                  <w:r>
                    <w:rPr>
                      <w:kern w:val="16"/>
                    </w:rPr>
                    <w:t>No</w:t>
                  </w:r>
                </w:p>
              </w:tc>
            </w:tr>
            <w:tr w:rsidR="006E17A4" w:rsidTr="00535E10">
              <w:tc>
                <w:tcPr>
                  <w:tcW w:w="4820" w:type="dxa"/>
                </w:tcPr>
                <w:p w:rsidR="006E17A4" w:rsidRPr="006E17A4" w:rsidRDefault="006E17A4" w:rsidP="008F21DF">
                  <w:pPr>
                    <w:pStyle w:val="BodyTextIndent"/>
                    <w:ind w:firstLine="0"/>
                    <w:rPr>
                      <w:kern w:val="16"/>
                    </w:rPr>
                  </w:pPr>
                  <w:r w:rsidRPr="008F21DF">
                    <w:rPr>
                      <w:kern w:val="16"/>
                    </w:rPr>
                    <w:t>BCTs – exchange of 40yo to Linac4</w:t>
                  </w:r>
                  <w:r w:rsidR="008F21DF">
                    <w:rPr>
                      <w:kern w:val="16"/>
                    </w:rPr>
                    <w:t xml:space="preserve"> standard on the LT and LTB line.</w:t>
                  </w:r>
                </w:p>
              </w:tc>
              <w:tc>
                <w:tcPr>
                  <w:tcW w:w="851" w:type="dxa"/>
                </w:tcPr>
                <w:p w:rsidR="006E17A4" w:rsidRDefault="008F21DF" w:rsidP="00381753">
                  <w:pPr>
                    <w:pStyle w:val="BodyTextIndent"/>
                    <w:ind w:firstLine="0"/>
                    <w:jc w:val="center"/>
                    <w:rPr>
                      <w:kern w:val="16"/>
                    </w:rPr>
                  </w:pPr>
                  <w:r>
                    <w:rPr>
                      <w:kern w:val="16"/>
                    </w:rPr>
                    <w:t>-</w:t>
                  </w:r>
                </w:p>
              </w:tc>
              <w:tc>
                <w:tcPr>
                  <w:tcW w:w="1134" w:type="dxa"/>
                </w:tcPr>
                <w:p w:rsidR="006E17A4" w:rsidRDefault="006E17A4" w:rsidP="00381753">
                  <w:pPr>
                    <w:pStyle w:val="BodyTextIndent"/>
                    <w:ind w:firstLine="0"/>
                    <w:jc w:val="center"/>
                    <w:rPr>
                      <w:kern w:val="16"/>
                    </w:rPr>
                  </w:pPr>
                  <w:r>
                    <w:rPr>
                      <w:kern w:val="16"/>
                    </w:rPr>
                    <w:t>BE-BI</w:t>
                  </w:r>
                </w:p>
              </w:tc>
              <w:tc>
                <w:tcPr>
                  <w:tcW w:w="1418" w:type="dxa"/>
                </w:tcPr>
                <w:p w:rsidR="006E17A4" w:rsidRDefault="006E17A4" w:rsidP="00381753">
                  <w:pPr>
                    <w:pStyle w:val="BodyTextIndent"/>
                    <w:ind w:firstLine="0"/>
                    <w:jc w:val="center"/>
                    <w:rPr>
                      <w:kern w:val="16"/>
                    </w:rPr>
                  </w:pPr>
                  <w:r>
                    <w:rPr>
                      <w:kern w:val="16"/>
                    </w:rPr>
                    <w:t>EYETS</w:t>
                  </w:r>
                </w:p>
              </w:tc>
              <w:tc>
                <w:tcPr>
                  <w:tcW w:w="1418" w:type="dxa"/>
                </w:tcPr>
                <w:p w:rsidR="006E17A4" w:rsidRDefault="006E17A4" w:rsidP="00381753">
                  <w:pPr>
                    <w:pStyle w:val="BodyTextIndent"/>
                    <w:ind w:firstLine="0"/>
                    <w:jc w:val="center"/>
                    <w:rPr>
                      <w:kern w:val="16"/>
                    </w:rPr>
                  </w:pPr>
                  <w:r>
                    <w:rPr>
                      <w:kern w:val="16"/>
                    </w:rPr>
                    <w:t>350 kCHF</w:t>
                  </w:r>
                </w:p>
                <w:p w:rsidR="008F21DF" w:rsidRDefault="008F21DF" w:rsidP="00381753">
                  <w:pPr>
                    <w:pStyle w:val="BodyTextIndent"/>
                    <w:ind w:firstLine="0"/>
                    <w:jc w:val="center"/>
                    <w:rPr>
                      <w:kern w:val="16"/>
                    </w:rPr>
                  </w:pPr>
                  <w:r>
                    <w:rPr>
                      <w:kern w:val="16"/>
                    </w:rPr>
                    <w:t>Yes</w:t>
                  </w:r>
                </w:p>
              </w:tc>
            </w:tr>
            <w:tr w:rsidR="006E17A4" w:rsidTr="00535E10">
              <w:tc>
                <w:tcPr>
                  <w:tcW w:w="4820" w:type="dxa"/>
                </w:tcPr>
                <w:p w:rsidR="006E17A4" w:rsidRPr="006E17A4" w:rsidRDefault="006E17A4" w:rsidP="006E17A4">
                  <w:pPr>
                    <w:pStyle w:val="BodyTextIndent"/>
                    <w:ind w:firstLine="0"/>
                    <w:rPr>
                      <w:kern w:val="16"/>
                    </w:rPr>
                  </w:pPr>
                  <w:r w:rsidRPr="006E17A4">
                    <w:rPr>
                      <w:kern w:val="16"/>
                    </w:rPr>
                    <w:t xml:space="preserve">Emittance meter scanner software – </w:t>
                  </w:r>
                </w:p>
                <w:p w:rsidR="006E17A4" w:rsidRPr="006E17A4" w:rsidRDefault="006E17A4" w:rsidP="006E17A4">
                  <w:pPr>
                    <w:pStyle w:val="BodyTextIndent"/>
                    <w:ind w:firstLine="0"/>
                    <w:rPr>
                      <w:kern w:val="16"/>
                    </w:rPr>
                  </w:pPr>
                  <w:r w:rsidRPr="006E17A4">
                    <w:rPr>
                      <w:kern w:val="16"/>
                    </w:rPr>
                    <w:t>Maintenance of code with new base software versions (e.g. Labview)</w:t>
                  </w:r>
                </w:p>
                <w:p w:rsidR="006E17A4" w:rsidRPr="006E17A4" w:rsidRDefault="006E17A4" w:rsidP="006E17A4">
                  <w:pPr>
                    <w:pStyle w:val="BodyTextIndent"/>
                    <w:ind w:firstLine="0"/>
                    <w:rPr>
                      <w:kern w:val="16"/>
                    </w:rPr>
                  </w:pPr>
                  <w:r w:rsidRPr="006E17A4">
                    <w:rPr>
                      <w:rFonts w:ascii="Times" w:hAnsi="Times"/>
                      <w:kern w:val="16"/>
                      <w:szCs w:val="24"/>
                    </w:rPr>
                    <w:t>Maintains development and qualification of Linac4 sources in the test stand.</w:t>
                  </w:r>
                </w:p>
              </w:tc>
              <w:tc>
                <w:tcPr>
                  <w:tcW w:w="851" w:type="dxa"/>
                </w:tcPr>
                <w:p w:rsidR="006E17A4" w:rsidRDefault="006E17A4" w:rsidP="00381753">
                  <w:pPr>
                    <w:pStyle w:val="BodyTextIndent"/>
                    <w:ind w:firstLine="0"/>
                    <w:jc w:val="center"/>
                    <w:rPr>
                      <w:kern w:val="16"/>
                    </w:rPr>
                  </w:pPr>
                  <w:r>
                    <w:rPr>
                      <w:kern w:val="16"/>
                    </w:rPr>
                    <w:t>1</w:t>
                  </w:r>
                </w:p>
              </w:tc>
              <w:tc>
                <w:tcPr>
                  <w:tcW w:w="1134" w:type="dxa"/>
                </w:tcPr>
                <w:p w:rsidR="006E17A4" w:rsidRDefault="006E17A4" w:rsidP="00381753">
                  <w:pPr>
                    <w:pStyle w:val="BodyTextIndent"/>
                    <w:ind w:firstLine="0"/>
                    <w:jc w:val="center"/>
                    <w:rPr>
                      <w:kern w:val="16"/>
                    </w:rPr>
                  </w:pPr>
                  <w:r>
                    <w:rPr>
                      <w:kern w:val="16"/>
                    </w:rPr>
                    <w:t>EN-ICE</w:t>
                  </w:r>
                </w:p>
              </w:tc>
              <w:tc>
                <w:tcPr>
                  <w:tcW w:w="1418" w:type="dxa"/>
                </w:tcPr>
                <w:p w:rsidR="006E17A4" w:rsidRDefault="006E17A4" w:rsidP="00381753">
                  <w:pPr>
                    <w:pStyle w:val="BodyTextIndent"/>
                    <w:ind w:firstLine="0"/>
                    <w:jc w:val="center"/>
                    <w:rPr>
                      <w:kern w:val="16"/>
                    </w:rPr>
                  </w:pPr>
                  <w:r>
                    <w:rPr>
                      <w:kern w:val="16"/>
                    </w:rPr>
                    <w:t>N/A</w:t>
                  </w:r>
                </w:p>
              </w:tc>
              <w:tc>
                <w:tcPr>
                  <w:tcW w:w="1418" w:type="dxa"/>
                </w:tcPr>
                <w:p w:rsidR="006E17A4" w:rsidRDefault="006E17A4" w:rsidP="00381753">
                  <w:pPr>
                    <w:pStyle w:val="BodyTextIndent"/>
                    <w:ind w:firstLine="0"/>
                    <w:jc w:val="center"/>
                    <w:rPr>
                      <w:kern w:val="16"/>
                    </w:rPr>
                  </w:pPr>
                  <w:r>
                    <w:rPr>
                      <w:kern w:val="16"/>
                    </w:rPr>
                    <w:t>0.5FTE</w:t>
                  </w:r>
                </w:p>
                <w:p w:rsidR="006E17A4" w:rsidRDefault="006E17A4" w:rsidP="00381753">
                  <w:pPr>
                    <w:pStyle w:val="BodyTextIndent"/>
                    <w:ind w:firstLine="0"/>
                    <w:jc w:val="center"/>
                    <w:rPr>
                      <w:kern w:val="16"/>
                    </w:rPr>
                  </w:pPr>
                  <w:r>
                    <w:rPr>
                      <w:kern w:val="16"/>
                    </w:rPr>
                    <w:t>~35 kCHF</w:t>
                  </w:r>
                </w:p>
                <w:p w:rsidR="008F21DF" w:rsidRDefault="008F21DF" w:rsidP="00381753">
                  <w:pPr>
                    <w:pStyle w:val="BodyTextIndent"/>
                    <w:ind w:firstLine="0"/>
                    <w:jc w:val="center"/>
                    <w:rPr>
                      <w:kern w:val="16"/>
                    </w:rPr>
                  </w:pPr>
                  <w:r>
                    <w:rPr>
                      <w:kern w:val="16"/>
                    </w:rPr>
                    <w:t>No</w:t>
                  </w:r>
                </w:p>
              </w:tc>
            </w:tr>
            <w:tr w:rsidR="006E17A4" w:rsidRPr="008F21DF" w:rsidTr="00535E10">
              <w:tc>
                <w:tcPr>
                  <w:tcW w:w="4820" w:type="dxa"/>
                </w:tcPr>
                <w:p w:rsidR="006E17A4" w:rsidRPr="006E17A4" w:rsidRDefault="00535E10" w:rsidP="006E17A4">
                  <w:pPr>
                    <w:pStyle w:val="BodyTextIndent"/>
                    <w:ind w:firstLine="0"/>
                    <w:rPr>
                      <w:kern w:val="16"/>
                    </w:rPr>
                  </w:pPr>
                  <w:r>
                    <w:rPr>
                      <w:kern w:val="16"/>
                    </w:rPr>
                    <w:t>Renovate the HVAC in building 363, for powering of Linac4 to PSB equipment.</w:t>
                  </w:r>
                </w:p>
              </w:tc>
              <w:tc>
                <w:tcPr>
                  <w:tcW w:w="851" w:type="dxa"/>
                </w:tcPr>
                <w:p w:rsidR="006E17A4" w:rsidRPr="00AC1A8C" w:rsidRDefault="00535E10" w:rsidP="00381753">
                  <w:pPr>
                    <w:pStyle w:val="BodyTextIndent"/>
                    <w:ind w:firstLine="0"/>
                    <w:jc w:val="center"/>
                    <w:rPr>
                      <w:kern w:val="16"/>
                      <w:lang w:val="fr-FR"/>
                    </w:rPr>
                  </w:pPr>
                  <w:r w:rsidRPr="00AC1A8C">
                    <w:rPr>
                      <w:kern w:val="16"/>
                      <w:lang w:val="fr-FR"/>
                    </w:rPr>
                    <w:t>2</w:t>
                  </w:r>
                </w:p>
              </w:tc>
              <w:tc>
                <w:tcPr>
                  <w:tcW w:w="1134" w:type="dxa"/>
                </w:tcPr>
                <w:p w:rsidR="006E17A4" w:rsidRPr="00AC1A8C" w:rsidRDefault="00535E10" w:rsidP="00381753">
                  <w:pPr>
                    <w:pStyle w:val="BodyTextIndent"/>
                    <w:ind w:firstLine="0"/>
                    <w:jc w:val="center"/>
                    <w:rPr>
                      <w:kern w:val="16"/>
                      <w:lang w:val="fr-FR"/>
                    </w:rPr>
                  </w:pPr>
                  <w:r w:rsidRPr="00AC1A8C">
                    <w:rPr>
                      <w:kern w:val="16"/>
                      <w:lang w:val="fr-FR"/>
                    </w:rPr>
                    <w:t>EN-CV</w:t>
                  </w:r>
                </w:p>
              </w:tc>
              <w:tc>
                <w:tcPr>
                  <w:tcW w:w="1418" w:type="dxa"/>
                </w:tcPr>
                <w:p w:rsidR="006E17A4" w:rsidRPr="00AC1A8C" w:rsidRDefault="00535E10" w:rsidP="00381753">
                  <w:pPr>
                    <w:pStyle w:val="BodyTextIndent"/>
                    <w:ind w:firstLine="0"/>
                    <w:jc w:val="center"/>
                    <w:rPr>
                      <w:kern w:val="16"/>
                      <w:lang w:val="fr-FR"/>
                    </w:rPr>
                  </w:pPr>
                  <w:r w:rsidRPr="00AC1A8C">
                    <w:rPr>
                      <w:kern w:val="16"/>
                      <w:lang w:val="fr-FR"/>
                    </w:rPr>
                    <w:t>LS2</w:t>
                  </w:r>
                </w:p>
              </w:tc>
              <w:tc>
                <w:tcPr>
                  <w:tcW w:w="1418" w:type="dxa"/>
                </w:tcPr>
                <w:p w:rsidR="006E17A4" w:rsidRDefault="00535E10" w:rsidP="00381753">
                  <w:pPr>
                    <w:pStyle w:val="BodyTextIndent"/>
                    <w:ind w:firstLine="0"/>
                    <w:jc w:val="center"/>
                    <w:rPr>
                      <w:kern w:val="16"/>
                      <w:lang w:val="fr-FR"/>
                    </w:rPr>
                  </w:pPr>
                  <w:r w:rsidRPr="00AC1A8C">
                    <w:rPr>
                      <w:kern w:val="16"/>
                      <w:lang w:val="fr-FR"/>
                    </w:rPr>
                    <w:t>270 kCHF</w:t>
                  </w:r>
                </w:p>
                <w:p w:rsidR="008F21DF" w:rsidRPr="00AC1A8C" w:rsidRDefault="008F21DF" w:rsidP="00381753">
                  <w:pPr>
                    <w:pStyle w:val="BodyTextIndent"/>
                    <w:ind w:firstLine="0"/>
                    <w:jc w:val="center"/>
                    <w:rPr>
                      <w:kern w:val="16"/>
                      <w:lang w:val="fr-FR"/>
                    </w:rPr>
                  </w:pPr>
                  <w:r>
                    <w:rPr>
                      <w:kern w:val="16"/>
                      <w:lang w:val="fr-FR"/>
                    </w:rPr>
                    <w:t>No</w:t>
                  </w:r>
                </w:p>
              </w:tc>
            </w:tr>
            <w:tr w:rsidR="00E45861" w:rsidRPr="008F21DF" w:rsidTr="00535E10">
              <w:tc>
                <w:tcPr>
                  <w:tcW w:w="4820" w:type="dxa"/>
                  <w:tcBorders>
                    <w:bottom w:val="single" w:sz="12" w:space="0" w:color="auto"/>
                  </w:tcBorders>
                </w:tcPr>
                <w:p w:rsidR="00E45861" w:rsidRPr="006E17A4" w:rsidRDefault="00E45861" w:rsidP="00E45861">
                  <w:pPr>
                    <w:pStyle w:val="BodyTextIndent"/>
                    <w:ind w:firstLine="0"/>
                    <w:rPr>
                      <w:kern w:val="16"/>
                    </w:rPr>
                  </w:pPr>
                  <w:r w:rsidRPr="006E17A4">
                    <w:rPr>
                      <w:kern w:val="16"/>
                    </w:rPr>
                    <w:t>Warm Magnet Interlock</w:t>
                  </w:r>
                </w:p>
                <w:p w:rsidR="00E45861" w:rsidRPr="006E17A4" w:rsidRDefault="00E45861" w:rsidP="00E45861">
                  <w:pPr>
                    <w:pStyle w:val="BodyTextIndent"/>
                    <w:ind w:firstLine="0"/>
                    <w:rPr>
                      <w:kern w:val="16"/>
                    </w:rPr>
                  </w:pPr>
                  <w:r w:rsidRPr="006E17A4">
                    <w:rPr>
                      <w:kern w:val="16"/>
                    </w:rPr>
                    <w:t>Many magnets are completely unprotected. They have to run at &lt;2xI for Linac4.</w:t>
                  </w:r>
                </w:p>
                <w:p w:rsidR="00E45861" w:rsidRDefault="00E45861" w:rsidP="00E45861">
                  <w:pPr>
                    <w:pStyle w:val="BodyTextIndent"/>
                    <w:ind w:firstLine="0"/>
                    <w:rPr>
                      <w:kern w:val="16"/>
                    </w:rPr>
                  </w:pPr>
                  <w:r w:rsidRPr="006E17A4">
                    <w:rPr>
                      <w:rFonts w:ascii="Times" w:hAnsi="Times"/>
                      <w:kern w:val="16"/>
                      <w:szCs w:val="24"/>
                    </w:rPr>
                    <w:t>Would be best coupled with EPC FGC and any magnet installation.</w:t>
                  </w:r>
                </w:p>
              </w:tc>
              <w:tc>
                <w:tcPr>
                  <w:tcW w:w="851" w:type="dxa"/>
                  <w:tcBorders>
                    <w:bottom w:val="single" w:sz="12" w:space="0" w:color="auto"/>
                  </w:tcBorders>
                </w:tcPr>
                <w:p w:rsidR="00E45861" w:rsidRDefault="00E45861" w:rsidP="00E45861">
                  <w:pPr>
                    <w:pStyle w:val="BodyTextIndent"/>
                    <w:ind w:firstLine="0"/>
                    <w:jc w:val="center"/>
                    <w:rPr>
                      <w:kern w:val="16"/>
                    </w:rPr>
                  </w:pPr>
                  <w:r>
                    <w:rPr>
                      <w:kern w:val="16"/>
                    </w:rPr>
                    <w:t>1</w:t>
                  </w:r>
                </w:p>
              </w:tc>
              <w:tc>
                <w:tcPr>
                  <w:tcW w:w="1134" w:type="dxa"/>
                  <w:tcBorders>
                    <w:bottom w:val="single" w:sz="12" w:space="0" w:color="auto"/>
                  </w:tcBorders>
                </w:tcPr>
                <w:p w:rsidR="00E45861" w:rsidRDefault="00E45861" w:rsidP="00E45861">
                  <w:pPr>
                    <w:pStyle w:val="BodyTextIndent"/>
                    <w:ind w:firstLine="0"/>
                    <w:jc w:val="center"/>
                    <w:rPr>
                      <w:kern w:val="16"/>
                    </w:rPr>
                  </w:pPr>
                  <w:r>
                    <w:rPr>
                      <w:kern w:val="16"/>
                    </w:rPr>
                    <w:t>TE-MPE</w:t>
                  </w:r>
                </w:p>
              </w:tc>
              <w:tc>
                <w:tcPr>
                  <w:tcW w:w="1418" w:type="dxa"/>
                  <w:tcBorders>
                    <w:bottom w:val="single" w:sz="12" w:space="0" w:color="auto"/>
                  </w:tcBorders>
                </w:tcPr>
                <w:p w:rsidR="00E45861" w:rsidRDefault="00E45861" w:rsidP="00E45861">
                  <w:pPr>
                    <w:pStyle w:val="BodyTextIndent"/>
                    <w:ind w:firstLine="0"/>
                    <w:jc w:val="center"/>
                    <w:rPr>
                      <w:kern w:val="16"/>
                    </w:rPr>
                  </w:pPr>
                  <w:r>
                    <w:rPr>
                      <w:kern w:val="16"/>
                    </w:rPr>
                    <w:t>LS2 – with convertor control</w:t>
                  </w:r>
                </w:p>
              </w:tc>
              <w:tc>
                <w:tcPr>
                  <w:tcW w:w="1418" w:type="dxa"/>
                  <w:tcBorders>
                    <w:bottom w:val="single" w:sz="12" w:space="0" w:color="auto"/>
                  </w:tcBorders>
                </w:tcPr>
                <w:p w:rsidR="00E45861" w:rsidRDefault="00E45861" w:rsidP="00E45861">
                  <w:pPr>
                    <w:pStyle w:val="BodyTextIndent"/>
                    <w:ind w:firstLine="0"/>
                    <w:jc w:val="center"/>
                    <w:rPr>
                      <w:kern w:val="16"/>
                    </w:rPr>
                  </w:pPr>
                  <w:r>
                    <w:rPr>
                      <w:kern w:val="16"/>
                    </w:rPr>
                    <w:t>150 kCHF</w:t>
                  </w:r>
                </w:p>
                <w:p w:rsidR="00E45861" w:rsidRDefault="00E45861" w:rsidP="00E45861">
                  <w:pPr>
                    <w:pStyle w:val="BodyTextIndent"/>
                    <w:ind w:firstLine="0"/>
                    <w:jc w:val="center"/>
                    <w:rPr>
                      <w:kern w:val="16"/>
                    </w:rPr>
                  </w:pPr>
                  <w:r>
                    <w:rPr>
                      <w:kern w:val="16"/>
                    </w:rPr>
                    <w:t>(part of 1800 kCHF for full PS complex)</w:t>
                  </w:r>
                </w:p>
                <w:p w:rsidR="00E45861" w:rsidRDefault="00E45861" w:rsidP="00E45861">
                  <w:pPr>
                    <w:pStyle w:val="BodyTextIndent"/>
                    <w:ind w:firstLine="0"/>
                    <w:jc w:val="center"/>
                    <w:rPr>
                      <w:kern w:val="16"/>
                    </w:rPr>
                  </w:pPr>
                  <w:r>
                    <w:rPr>
                      <w:kern w:val="16"/>
                    </w:rPr>
                    <w:t>No</w:t>
                  </w:r>
                </w:p>
              </w:tc>
            </w:tr>
          </w:tbl>
          <w:p w:rsidR="00974E99" w:rsidRPr="00AC1A8C" w:rsidRDefault="00974E99" w:rsidP="00381753">
            <w:pPr>
              <w:pStyle w:val="BodyTextIndent"/>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Default="00F1564F" w:rsidP="00F1564F">
            <w:pPr>
              <w:pStyle w:val="BodyTextIndent"/>
              <w:ind w:firstLine="0"/>
              <w:rPr>
                <w:lang w:val="fr-FR"/>
              </w:rPr>
            </w:pPr>
          </w:p>
          <w:p w:rsidR="00F1564F" w:rsidRPr="00AC1A8C" w:rsidRDefault="00F1564F" w:rsidP="00F1564F">
            <w:pPr>
              <w:pStyle w:val="BodyTextIndent"/>
              <w:ind w:firstLine="0"/>
              <w:rPr>
                <w:lang w:val="fr-FR"/>
              </w:rPr>
            </w:pPr>
          </w:p>
          <w:p w:rsidR="00535E10" w:rsidRPr="00F1564F" w:rsidRDefault="00535E10" w:rsidP="00535E10">
            <w:pPr>
              <w:pStyle w:val="FigureCaptionMultiLine"/>
              <w:rPr>
                <w:kern w:val="16"/>
              </w:rPr>
            </w:pPr>
            <w:r w:rsidRPr="00F1564F">
              <w:rPr>
                <w:kern w:val="16"/>
              </w:rPr>
              <w:lastRenderedPageBreak/>
              <w:t>Table 3a: Linac3 consolidation requests.</w:t>
            </w:r>
          </w:p>
          <w:tbl>
            <w:tblPr>
              <w:tblStyle w:val="TableGrid"/>
              <w:tblW w:w="96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851"/>
              <w:gridCol w:w="1134"/>
              <w:gridCol w:w="1418"/>
              <w:gridCol w:w="1418"/>
            </w:tblGrid>
            <w:tr w:rsidR="006E17A4" w:rsidTr="00974E99">
              <w:tc>
                <w:tcPr>
                  <w:tcW w:w="4820" w:type="dxa"/>
                  <w:tcBorders>
                    <w:top w:val="single" w:sz="12" w:space="0" w:color="auto"/>
                    <w:bottom w:val="single" w:sz="12" w:space="0" w:color="auto"/>
                  </w:tcBorders>
                </w:tcPr>
                <w:p w:rsidR="006E17A4" w:rsidRDefault="006E17A4" w:rsidP="006E17A4">
                  <w:pPr>
                    <w:pStyle w:val="BodyTextIndent"/>
                    <w:ind w:firstLine="0"/>
                    <w:rPr>
                      <w:kern w:val="16"/>
                    </w:rPr>
                  </w:pPr>
                  <w:r>
                    <w:rPr>
                      <w:kern w:val="16"/>
                    </w:rPr>
                    <w:t>Item</w:t>
                  </w:r>
                </w:p>
              </w:tc>
              <w:tc>
                <w:tcPr>
                  <w:tcW w:w="851" w:type="dxa"/>
                  <w:tcBorders>
                    <w:top w:val="single" w:sz="12" w:space="0" w:color="auto"/>
                    <w:bottom w:val="single" w:sz="12" w:space="0" w:color="auto"/>
                  </w:tcBorders>
                </w:tcPr>
                <w:p w:rsidR="006E17A4" w:rsidRDefault="006E17A4" w:rsidP="006E17A4">
                  <w:pPr>
                    <w:pStyle w:val="BodyTextIndent"/>
                    <w:ind w:firstLine="0"/>
                    <w:jc w:val="center"/>
                    <w:rPr>
                      <w:kern w:val="16"/>
                    </w:rPr>
                  </w:pPr>
                  <w:r>
                    <w:rPr>
                      <w:kern w:val="16"/>
                    </w:rPr>
                    <w:t>Priority</w:t>
                  </w:r>
                </w:p>
              </w:tc>
              <w:tc>
                <w:tcPr>
                  <w:tcW w:w="1134" w:type="dxa"/>
                  <w:tcBorders>
                    <w:top w:val="single" w:sz="12" w:space="0" w:color="auto"/>
                    <w:bottom w:val="single" w:sz="12" w:space="0" w:color="auto"/>
                  </w:tcBorders>
                </w:tcPr>
                <w:p w:rsidR="006E17A4" w:rsidRDefault="006E17A4" w:rsidP="006E17A4">
                  <w:pPr>
                    <w:pStyle w:val="BodyTextIndent"/>
                    <w:ind w:firstLine="0"/>
                    <w:jc w:val="center"/>
                    <w:rPr>
                      <w:kern w:val="16"/>
                    </w:rPr>
                  </w:pPr>
                  <w:r>
                    <w:rPr>
                      <w:kern w:val="16"/>
                    </w:rPr>
                    <w:t>Group</w:t>
                  </w:r>
                </w:p>
              </w:tc>
              <w:tc>
                <w:tcPr>
                  <w:tcW w:w="1418" w:type="dxa"/>
                  <w:tcBorders>
                    <w:top w:val="single" w:sz="12" w:space="0" w:color="auto"/>
                    <w:bottom w:val="single" w:sz="12" w:space="0" w:color="auto"/>
                  </w:tcBorders>
                </w:tcPr>
                <w:p w:rsidR="006E17A4" w:rsidRDefault="006E17A4" w:rsidP="006E17A4">
                  <w:pPr>
                    <w:pStyle w:val="BodyTextIndent"/>
                    <w:ind w:firstLine="0"/>
                    <w:jc w:val="center"/>
                    <w:rPr>
                      <w:kern w:val="16"/>
                    </w:rPr>
                  </w:pPr>
                  <w:r>
                    <w:rPr>
                      <w:kern w:val="16"/>
                    </w:rPr>
                    <w:t>When</w:t>
                  </w:r>
                </w:p>
              </w:tc>
              <w:tc>
                <w:tcPr>
                  <w:tcW w:w="1418" w:type="dxa"/>
                  <w:tcBorders>
                    <w:top w:val="single" w:sz="12" w:space="0" w:color="auto"/>
                    <w:bottom w:val="single" w:sz="12" w:space="0" w:color="auto"/>
                  </w:tcBorders>
                </w:tcPr>
                <w:p w:rsidR="006E17A4" w:rsidRDefault="006E17A4" w:rsidP="006E17A4">
                  <w:pPr>
                    <w:pStyle w:val="BodyTextIndent"/>
                    <w:ind w:firstLine="0"/>
                    <w:jc w:val="center"/>
                    <w:rPr>
                      <w:kern w:val="16"/>
                    </w:rPr>
                  </w:pPr>
                  <w:r>
                    <w:rPr>
                      <w:kern w:val="16"/>
                    </w:rPr>
                    <w:t>Approved</w:t>
                  </w:r>
                </w:p>
              </w:tc>
            </w:tr>
            <w:tr w:rsidR="006E17A4" w:rsidTr="00974E99">
              <w:tc>
                <w:tcPr>
                  <w:tcW w:w="4820" w:type="dxa"/>
                  <w:tcBorders>
                    <w:top w:val="single" w:sz="12" w:space="0" w:color="auto"/>
                  </w:tcBorders>
                </w:tcPr>
                <w:p w:rsidR="00974E99" w:rsidRPr="00974E99" w:rsidRDefault="00974E99" w:rsidP="00974E99">
                  <w:pPr>
                    <w:pStyle w:val="BodyTextIndent"/>
                    <w:ind w:firstLine="0"/>
                    <w:rPr>
                      <w:kern w:val="16"/>
                    </w:rPr>
                  </w:pPr>
                  <w:r w:rsidRPr="00974E99">
                    <w:rPr>
                      <w:kern w:val="16"/>
                    </w:rPr>
                    <w:t>HVAC replacement</w:t>
                  </w:r>
                </w:p>
                <w:p w:rsidR="00974E99" w:rsidRPr="00974E99" w:rsidRDefault="00974E99" w:rsidP="00974E99">
                  <w:pPr>
                    <w:pStyle w:val="BodyTextIndent"/>
                    <w:ind w:firstLine="0"/>
                    <w:rPr>
                      <w:kern w:val="16"/>
                    </w:rPr>
                  </w:pPr>
                  <w:r w:rsidRPr="00974E99">
                    <w:rPr>
                      <w:kern w:val="16"/>
                    </w:rPr>
                    <w:t>Must include a major asbestos clean up – not budgeted.</w:t>
                  </w:r>
                </w:p>
                <w:p w:rsidR="00974E99" w:rsidRPr="00974E99" w:rsidRDefault="00974E99" w:rsidP="00974E99">
                  <w:pPr>
                    <w:pStyle w:val="BodyTextIndent"/>
                    <w:ind w:firstLine="0"/>
                    <w:rPr>
                      <w:kern w:val="16"/>
                    </w:rPr>
                  </w:pPr>
                  <w:r w:rsidRPr="00974E99">
                    <w:rPr>
                      <w:kern w:val="16"/>
                    </w:rPr>
                    <w:t>Cooling has been a persistent operational issue for Linac3. Post LS1 we will increase typical rep rate from</w:t>
                  </w:r>
                  <w:r w:rsidRPr="00974E99">
                    <w:rPr>
                      <w:kern w:val="16"/>
                    </w:rPr>
                    <w:br/>
                    <w:t xml:space="preserve"> 2 -&gt; 3.6Hz – MD showed little margin for this.</w:t>
                  </w:r>
                </w:p>
                <w:p w:rsidR="006E17A4" w:rsidRDefault="00974E99" w:rsidP="00974E99">
                  <w:pPr>
                    <w:pStyle w:val="BodyTextIndent"/>
                    <w:ind w:firstLine="0"/>
                    <w:rPr>
                      <w:kern w:val="16"/>
                    </w:rPr>
                  </w:pPr>
                  <w:r w:rsidRPr="00974E99">
                    <w:rPr>
                      <w:rFonts w:ascii="Times" w:hAnsi="Times"/>
                      <w:kern w:val="16"/>
                      <w:szCs w:val="24"/>
                    </w:rPr>
                    <w:t>Increased operational workload, beam downtime and performance restrictions in summer, to become worse post LS2 if not consolidated.</w:t>
                  </w:r>
                </w:p>
              </w:tc>
              <w:tc>
                <w:tcPr>
                  <w:tcW w:w="851" w:type="dxa"/>
                  <w:tcBorders>
                    <w:top w:val="single" w:sz="12" w:space="0" w:color="auto"/>
                  </w:tcBorders>
                </w:tcPr>
                <w:p w:rsidR="006E17A4" w:rsidRDefault="00974E99" w:rsidP="006E17A4">
                  <w:pPr>
                    <w:pStyle w:val="BodyTextIndent"/>
                    <w:ind w:firstLine="0"/>
                    <w:jc w:val="center"/>
                    <w:rPr>
                      <w:kern w:val="16"/>
                    </w:rPr>
                  </w:pPr>
                  <w:r>
                    <w:rPr>
                      <w:kern w:val="16"/>
                    </w:rPr>
                    <w:t>1</w:t>
                  </w:r>
                </w:p>
              </w:tc>
              <w:tc>
                <w:tcPr>
                  <w:tcW w:w="1134" w:type="dxa"/>
                  <w:tcBorders>
                    <w:top w:val="single" w:sz="12" w:space="0" w:color="auto"/>
                  </w:tcBorders>
                </w:tcPr>
                <w:p w:rsidR="006E17A4" w:rsidRDefault="00974E99" w:rsidP="006E17A4">
                  <w:pPr>
                    <w:pStyle w:val="BodyTextIndent"/>
                    <w:ind w:firstLine="0"/>
                    <w:jc w:val="center"/>
                    <w:rPr>
                      <w:kern w:val="16"/>
                    </w:rPr>
                  </w:pPr>
                  <w:r>
                    <w:rPr>
                      <w:kern w:val="16"/>
                    </w:rPr>
                    <w:t>EN-CV</w:t>
                  </w:r>
                  <w:r>
                    <w:rPr>
                      <w:kern w:val="16"/>
                    </w:rPr>
                    <w:br/>
                    <w:t>GS-SE</w:t>
                  </w:r>
                </w:p>
              </w:tc>
              <w:tc>
                <w:tcPr>
                  <w:tcW w:w="1418" w:type="dxa"/>
                  <w:tcBorders>
                    <w:top w:val="single" w:sz="12" w:space="0" w:color="auto"/>
                  </w:tcBorders>
                </w:tcPr>
                <w:p w:rsidR="006E17A4" w:rsidRDefault="00974E99" w:rsidP="006E17A4">
                  <w:pPr>
                    <w:pStyle w:val="BodyTextIndent"/>
                    <w:ind w:firstLine="0"/>
                    <w:jc w:val="center"/>
                    <w:rPr>
                      <w:kern w:val="16"/>
                    </w:rPr>
                  </w:pPr>
                  <w:r>
                    <w:rPr>
                      <w:kern w:val="16"/>
                    </w:rPr>
                    <w:t>LS2</w:t>
                  </w:r>
                </w:p>
              </w:tc>
              <w:tc>
                <w:tcPr>
                  <w:tcW w:w="1418" w:type="dxa"/>
                  <w:tcBorders>
                    <w:top w:val="single" w:sz="12" w:space="0" w:color="auto"/>
                  </w:tcBorders>
                </w:tcPr>
                <w:p w:rsidR="006E17A4" w:rsidRDefault="00974E99" w:rsidP="006E17A4">
                  <w:pPr>
                    <w:pStyle w:val="BodyTextIndent"/>
                    <w:ind w:firstLine="0"/>
                    <w:jc w:val="center"/>
                    <w:rPr>
                      <w:kern w:val="16"/>
                    </w:rPr>
                  </w:pPr>
                  <w:r>
                    <w:rPr>
                      <w:kern w:val="16"/>
                    </w:rPr>
                    <w:t>1300 kCHF</w:t>
                  </w:r>
                </w:p>
                <w:p w:rsidR="00974E99" w:rsidRDefault="00974E99" w:rsidP="006E17A4">
                  <w:pPr>
                    <w:pStyle w:val="BodyTextIndent"/>
                    <w:ind w:firstLine="0"/>
                    <w:jc w:val="center"/>
                    <w:rPr>
                      <w:kern w:val="16"/>
                    </w:rPr>
                  </w:pPr>
                  <w:r>
                    <w:rPr>
                      <w:kern w:val="16"/>
                    </w:rPr>
                    <w:t>No</w:t>
                  </w:r>
                </w:p>
              </w:tc>
            </w:tr>
            <w:tr w:rsidR="006E17A4" w:rsidTr="00974E99">
              <w:tc>
                <w:tcPr>
                  <w:tcW w:w="4820" w:type="dxa"/>
                  <w:tcBorders>
                    <w:bottom w:val="single" w:sz="4" w:space="0" w:color="auto"/>
                  </w:tcBorders>
                </w:tcPr>
                <w:p w:rsidR="00974E99" w:rsidRPr="00974E99" w:rsidRDefault="00974E99" w:rsidP="00974E99">
                  <w:pPr>
                    <w:pStyle w:val="BodyTextIndent"/>
                    <w:ind w:firstLine="0"/>
                    <w:rPr>
                      <w:kern w:val="16"/>
                    </w:rPr>
                  </w:pPr>
                  <w:r w:rsidRPr="00974E99">
                    <w:rPr>
                      <w:kern w:val="16"/>
                    </w:rPr>
                    <w:t>Replace many power convertors in Linac3, including controls.</w:t>
                  </w:r>
                </w:p>
                <w:p w:rsidR="00974E99" w:rsidRPr="00974E99" w:rsidRDefault="00974E99" w:rsidP="00974E99">
                  <w:pPr>
                    <w:pStyle w:val="BodyTextIndent"/>
                    <w:ind w:firstLine="0"/>
                    <w:rPr>
                      <w:kern w:val="16"/>
                    </w:rPr>
                  </w:pPr>
                  <w:r w:rsidRPr="00974E99">
                    <w:rPr>
                      <w:kern w:val="16"/>
                    </w:rPr>
                    <w:t>Remove multiple design types, increasing maintainability.</w:t>
                  </w:r>
                  <w:r w:rsidR="00995B57">
                    <w:rPr>
                      <w:kern w:val="16"/>
                    </w:rPr>
                    <w:t xml:space="preserve"> Air heat load should not be increased.</w:t>
                  </w:r>
                </w:p>
                <w:p w:rsidR="006E17A4" w:rsidRDefault="00974E99" w:rsidP="00974E99">
                  <w:pPr>
                    <w:pStyle w:val="BodyTextIndent"/>
                    <w:ind w:firstLine="0"/>
                    <w:rPr>
                      <w:kern w:val="16"/>
                    </w:rPr>
                  </w:pPr>
                  <w:r w:rsidRPr="00974E99">
                    <w:rPr>
                      <w:rFonts w:ascii="Times" w:hAnsi="Times"/>
                      <w:kern w:val="16"/>
                      <w:szCs w:val="24"/>
                    </w:rPr>
                    <w:t>Some PCs lack spar</w:t>
                  </w:r>
                  <w:r w:rsidR="00052E0B">
                    <w:rPr>
                      <w:rFonts w:ascii="Times" w:hAnsi="Times"/>
                      <w:kern w:val="16"/>
                      <w:szCs w:val="24"/>
                    </w:rPr>
                    <w:t>es – they should be prioritized more highly.</w:t>
                  </w:r>
                </w:p>
              </w:tc>
              <w:tc>
                <w:tcPr>
                  <w:tcW w:w="851" w:type="dxa"/>
                  <w:tcBorders>
                    <w:bottom w:val="single" w:sz="4" w:space="0" w:color="auto"/>
                  </w:tcBorders>
                </w:tcPr>
                <w:p w:rsidR="006E17A4" w:rsidRDefault="00974E99" w:rsidP="006E17A4">
                  <w:pPr>
                    <w:pStyle w:val="BodyTextIndent"/>
                    <w:ind w:firstLine="0"/>
                    <w:jc w:val="center"/>
                    <w:rPr>
                      <w:kern w:val="16"/>
                    </w:rPr>
                  </w:pPr>
                  <w:r>
                    <w:rPr>
                      <w:kern w:val="16"/>
                    </w:rPr>
                    <w:t>2</w:t>
                  </w:r>
                </w:p>
              </w:tc>
              <w:tc>
                <w:tcPr>
                  <w:tcW w:w="1134" w:type="dxa"/>
                  <w:tcBorders>
                    <w:bottom w:val="single" w:sz="4" w:space="0" w:color="auto"/>
                  </w:tcBorders>
                </w:tcPr>
                <w:p w:rsidR="006E17A4" w:rsidRDefault="00974E99" w:rsidP="006E17A4">
                  <w:pPr>
                    <w:pStyle w:val="BodyTextIndent"/>
                    <w:ind w:firstLine="0"/>
                    <w:jc w:val="center"/>
                    <w:rPr>
                      <w:kern w:val="16"/>
                    </w:rPr>
                  </w:pPr>
                  <w:r>
                    <w:rPr>
                      <w:kern w:val="16"/>
                    </w:rPr>
                    <w:t>TE-EPC</w:t>
                  </w:r>
                </w:p>
              </w:tc>
              <w:tc>
                <w:tcPr>
                  <w:tcW w:w="1418" w:type="dxa"/>
                  <w:tcBorders>
                    <w:bottom w:val="single" w:sz="4" w:space="0" w:color="auto"/>
                  </w:tcBorders>
                </w:tcPr>
                <w:p w:rsidR="006E17A4" w:rsidRDefault="006E17A4" w:rsidP="006E17A4">
                  <w:pPr>
                    <w:pStyle w:val="BodyTextIndent"/>
                    <w:ind w:firstLine="0"/>
                    <w:jc w:val="center"/>
                    <w:rPr>
                      <w:kern w:val="16"/>
                    </w:rPr>
                  </w:pPr>
                </w:p>
              </w:tc>
              <w:tc>
                <w:tcPr>
                  <w:tcW w:w="1418" w:type="dxa"/>
                  <w:tcBorders>
                    <w:bottom w:val="single" w:sz="4" w:space="0" w:color="auto"/>
                  </w:tcBorders>
                </w:tcPr>
                <w:p w:rsidR="006E17A4" w:rsidRDefault="00995FE2" w:rsidP="006E17A4">
                  <w:pPr>
                    <w:pStyle w:val="BodyTextIndent"/>
                    <w:ind w:firstLine="0"/>
                    <w:jc w:val="center"/>
                    <w:rPr>
                      <w:kern w:val="16"/>
                    </w:rPr>
                  </w:pPr>
                  <w:r>
                    <w:rPr>
                      <w:kern w:val="16"/>
                    </w:rPr>
                    <w:t>9</w:t>
                  </w:r>
                  <w:r w:rsidR="00974E99">
                    <w:rPr>
                      <w:kern w:val="16"/>
                    </w:rPr>
                    <w:t>00 kCHF</w:t>
                  </w:r>
                </w:p>
                <w:p w:rsidR="00974E99" w:rsidRDefault="00974E99" w:rsidP="006E17A4">
                  <w:pPr>
                    <w:pStyle w:val="BodyTextIndent"/>
                    <w:ind w:firstLine="0"/>
                    <w:jc w:val="center"/>
                    <w:rPr>
                      <w:kern w:val="16"/>
                    </w:rPr>
                  </w:pPr>
                  <w:r>
                    <w:rPr>
                      <w:kern w:val="16"/>
                    </w:rPr>
                    <w:t>No</w:t>
                  </w:r>
                </w:p>
              </w:tc>
            </w:tr>
            <w:tr w:rsidR="006E17A4" w:rsidTr="00974E99">
              <w:tc>
                <w:tcPr>
                  <w:tcW w:w="4820" w:type="dxa"/>
                </w:tcPr>
                <w:p w:rsidR="00052E0B" w:rsidRPr="00052E0B" w:rsidRDefault="00052E0B" w:rsidP="00052E0B">
                  <w:pPr>
                    <w:pStyle w:val="BodyTextIndent"/>
                    <w:ind w:firstLine="0"/>
                    <w:rPr>
                      <w:kern w:val="16"/>
                    </w:rPr>
                  </w:pPr>
                  <w:r w:rsidRPr="00052E0B">
                    <w:rPr>
                      <w:kern w:val="16"/>
                    </w:rPr>
                    <w:t>LBS Line – consolidate for ions.</w:t>
                  </w:r>
                </w:p>
                <w:p w:rsidR="00052E0B" w:rsidRPr="00052E0B" w:rsidRDefault="00052E0B" w:rsidP="00052E0B">
                  <w:pPr>
                    <w:pStyle w:val="BodyTextIndent"/>
                    <w:ind w:firstLine="0"/>
                    <w:rPr>
                      <w:kern w:val="16"/>
                    </w:rPr>
                  </w:pPr>
                  <w:r w:rsidRPr="00052E0B">
                    <w:rPr>
                      <w:kern w:val="16"/>
                    </w:rPr>
                    <w:t>Also requested to LIU-Ions – Negotiation needed.</w:t>
                  </w:r>
                </w:p>
                <w:p w:rsidR="006E17A4" w:rsidRDefault="00052E0B" w:rsidP="00052E0B">
                  <w:pPr>
                    <w:pStyle w:val="BodyTextIndent"/>
                    <w:ind w:firstLine="0"/>
                    <w:rPr>
                      <w:kern w:val="16"/>
                    </w:rPr>
                  </w:pPr>
                  <w:r w:rsidRPr="00052E0B">
                    <w:rPr>
                      <w:rFonts w:ascii="Times" w:hAnsi="Times"/>
                      <w:kern w:val="16"/>
                      <w:szCs w:val="24"/>
                    </w:rPr>
                    <w:t>Renovation is best in LS2 when zone is modified for LBE line anyway (easing access).</w:t>
                  </w:r>
                </w:p>
              </w:tc>
              <w:tc>
                <w:tcPr>
                  <w:tcW w:w="851" w:type="dxa"/>
                </w:tcPr>
                <w:p w:rsidR="006E17A4" w:rsidRDefault="00052E0B" w:rsidP="006E17A4">
                  <w:pPr>
                    <w:pStyle w:val="BodyTextIndent"/>
                    <w:ind w:firstLine="0"/>
                    <w:jc w:val="center"/>
                    <w:rPr>
                      <w:kern w:val="16"/>
                    </w:rPr>
                  </w:pPr>
                  <w:r>
                    <w:rPr>
                      <w:kern w:val="16"/>
                    </w:rPr>
                    <w:t>2</w:t>
                  </w:r>
                </w:p>
              </w:tc>
              <w:tc>
                <w:tcPr>
                  <w:tcW w:w="1134" w:type="dxa"/>
                </w:tcPr>
                <w:p w:rsidR="006E17A4" w:rsidRDefault="00052E0B" w:rsidP="006E17A4">
                  <w:pPr>
                    <w:pStyle w:val="BodyTextIndent"/>
                    <w:ind w:firstLine="0"/>
                    <w:jc w:val="center"/>
                    <w:rPr>
                      <w:kern w:val="16"/>
                    </w:rPr>
                  </w:pPr>
                  <w:r>
                    <w:rPr>
                      <w:kern w:val="16"/>
                    </w:rPr>
                    <w:t>BE-ABP</w:t>
                  </w:r>
                </w:p>
              </w:tc>
              <w:tc>
                <w:tcPr>
                  <w:tcW w:w="1418" w:type="dxa"/>
                </w:tcPr>
                <w:p w:rsidR="006E17A4" w:rsidRDefault="00052E0B" w:rsidP="006E17A4">
                  <w:pPr>
                    <w:pStyle w:val="BodyTextIndent"/>
                    <w:ind w:firstLine="0"/>
                    <w:jc w:val="center"/>
                    <w:rPr>
                      <w:kern w:val="16"/>
                    </w:rPr>
                  </w:pPr>
                  <w:r>
                    <w:rPr>
                      <w:kern w:val="16"/>
                    </w:rPr>
                    <w:t>LS2</w:t>
                  </w:r>
                </w:p>
              </w:tc>
              <w:tc>
                <w:tcPr>
                  <w:tcW w:w="1418" w:type="dxa"/>
                </w:tcPr>
                <w:p w:rsidR="006E17A4" w:rsidRDefault="00052E0B" w:rsidP="006E17A4">
                  <w:pPr>
                    <w:pStyle w:val="BodyTextIndent"/>
                    <w:ind w:firstLine="0"/>
                    <w:jc w:val="center"/>
                    <w:rPr>
                      <w:kern w:val="16"/>
                    </w:rPr>
                  </w:pPr>
                  <w:r>
                    <w:rPr>
                      <w:kern w:val="16"/>
                    </w:rPr>
                    <w:t>1000 kCHF</w:t>
                  </w:r>
                </w:p>
                <w:p w:rsidR="00052E0B" w:rsidRDefault="00052E0B" w:rsidP="006E17A4">
                  <w:pPr>
                    <w:pStyle w:val="BodyTextIndent"/>
                    <w:ind w:firstLine="0"/>
                    <w:jc w:val="center"/>
                    <w:rPr>
                      <w:kern w:val="16"/>
                    </w:rPr>
                  </w:pPr>
                  <w:r>
                    <w:rPr>
                      <w:kern w:val="16"/>
                    </w:rPr>
                    <w:t>No</w:t>
                  </w:r>
                </w:p>
              </w:tc>
            </w:tr>
            <w:tr w:rsidR="006E17A4" w:rsidTr="00974E99">
              <w:tc>
                <w:tcPr>
                  <w:tcW w:w="4820" w:type="dxa"/>
                </w:tcPr>
                <w:p w:rsidR="00995B57" w:rsidRPr="00995B57" w:rsidRDefault="00995B57" w:rsidP="00995B57">
                  <w:pPr>
                    <w:pStyle w:val="BodyTextIndent"/>
                    <w:ind w:firstLine="0"/>
                    <w:rPr>
                      <w:kern w:val="16"/>
                    </w:rPr>
                  </w:pPr>
                  <w:r w:rsidRPr="00995B57">
                    <w:rPr>
                      <w:kern w:val="16"/>
                    </w:rPr>
                    <w:t>Linac3 Triplet Drift tubes</w:t>
                  </w:r>
                </w:p>
                <w:p w:rsidR="00995B57" w:rsidRPr="00995B57" w:rsidRDefault="00995B57" w:rsidP="00995B57">
                  <w:pPr>
                    <w:pStyle w:val="BodyTextIndent"/>
                    <w:ind w:firstLine="0"/>
                    <w:rPr>
                      <w:kern w:val="16"/>
                    </w:rPr>
                  </w:pPr>
                  <w:r w:rsidRPr="00995B57">
                    <w:rPr>
                      <w:kern w:val="16"/>
                    </w:rPr>
                    <w:t xml:space="preserve">There are spares – but possible recurring water leak issue on brazing </w:t>
                  </w:r>
                  <w:r w:rsidR="003E76D5">
                    <w:rPr>
                      <w:kern w:val="16"/>
                    </w:rPr>
                    <w:t>– Replacement takes ~8-10 weeks.</w:t>
                  </w:r>
                </w:p>
                <w:p w:rsidR="006E17A4" w:rsidRPr="006E17A4" w:rsidRDefault="00995B57" w:rsidP="00995B57">
                  <w:pPr>
                    <w:pStyle w:val="BodyTextIndent"/>
                    <w:ind w:firstLine="0"/>
                    <w:rPr>
                      <w:kern w:val="16"/>
                    </w:rPr>
                  </w:pPr>
                  <w:r w:rsidRPr="00995B57">
                    <w:rPr>
                      <w:rFonts w:ascii="Times" w:hAnsi="Times"/>
                      <w:kern w:val="16"/>
                      <w:szCs w:val="24"/>
                    </w:rPr>
                    <w:t>Priority to be modified if one fails.</w:t>
                  </w:r>
                </w:p>
              </w:tc>
              <w:tc>
                <w:tcPr>
                  <w:tcW w:w="851" w:type="dxa"/>
                </w:tcPr>
                <w:p w:rsidR="006E17A4" w:rsidRDefault="00995B57" w:rsidP="006E17A4">
                  <w:pPr>
                    <w:pStyle w:val="BodyTextIndent"/>
                    <w:ind w:firstLine="0"/>
                    <w:jc w:val="center"/>
                    <w:rPr>
                      <w:kern w:val="16"/>
                    </w:rPr>
                  </w:pPr>
                  <w:r>
                    <w:rPr>
                      <w:kern w:val="16"/>
                    </w:rPr>
                    <w:t>2</w:t>
                  </w:r>
                </w:p>
              </w:tc>
              <w:tc>
                <w:tcPr>
                  <w:tcW w:w="1134" w:type="dxa"/>
                </w:tcPr>
                <w:p w:rsidR="006E17A4" w:rsidRDefault="00995B57" w:rsidP="006E17A4">
                  <w:pPr>
                    <w:pStyle w:val="BodyTextIndent"/>
                    <w:ind w:firstLine="0"/>
                    <w:jc w:val="center"/>
                    <w:rPr>
                      <w:kern w:val="16"/>
                    </w:rPr>
                  </w:pPr>
                  <w:r>
                    <w:rPr>
                      <w:kern w:val="16"/>
                    </w:rPr>
                    <w:t>BE-ABP</w:t>
                  </w:r>
                </w:p>
              </w:tc>
              <w:tc>
                <w:tcPr>
                  <w:tcW w:w="1418" w:type="dxa"/>
                </w:tcPr>
                <w:p w:rsidR="006E17A4" w:rsidRDefault="00995B57" w:rsidP="006E17A4">
                  <w:pPr>
                    <w:pStyle w:val="BodyTextIndent"/>
                    <w:ind w:firstLine="0"/>
                    <w:jc w:val="center"/>
                    <w:rPr>
                      <w:kern w:val="16"/>
                    </w:rPr>
                  </w:pPr>
                  <w:r>
                    <w:rPr>
                      <w:kern w:val="16"/>
                    </w:rPr>
                    <w:t>-</w:t>
                  </w:r>
                </w:p>
              </w:tc>
              <w:tc>
                <w:tcPr>
                  <w:tcW w:w="1418" w:type="dxa"/>
                </w:tcPr>
                <w:p w:rsidR="006E17A4" w:rsidRDefault="00995B57" w:rsidP="006E17A4">
                  <w:pPr>
                    <w:pStyle w:val="BodyTextIndent"/>
                    <w:ind w:firstLine="0"/>
                    <w:jc w:val="center"/>
                    <w:rPr>
                      <w:kern w:val="16"/>
                    </w:rPr>
                  </w:pPr>
                  <w:r>
                    <w:rPr>
                      <w:kern w:val="16"/>
                    </w:rPr>
                    <w:t>500 kCHF</w:t>
                  </w:r>
                </w:p>
                <w:p w:rsidR="00995B57" w:rsidRDefault="00995B57" w:rsidP="006E17A4">
                  <w:pPr>
                    <w:pStyle w:val="BodyTextIndent"/>
                    <w:ind w:firstLine="0"/>
                    <w:jc w:val="center"/>
                    <w:rPr>
                      <w:kern w:val="16"/>
                    </w:rPr>
                  </w:pPr>
                  <w:r>
                    <w:rPr>
                      <w:kern w:val="16"/>
                    </w:rPr>
                    <w:t>No</w:t>
                  </w:r>
                </w:p>
              </w:tc>
            </w:tr>
            <w:tr w:rsidR="006E17A4" w:rsidTr="00974E99">
              <w:tc>
                <w:tcPr>
                  <w:tcW w:w="4820" w:type="dxa"/>
                </w:tcPr>
                <w:p w:rsidR="00995B57" w:rsidRPr="00995B57" w:rsidRDefault="00995B57" w:rsidP="00995B57">
                  <w:pPr>
                    <w:pStyle w:val="BodyTextIndent"/>
                    <w:ind w:firstLine="0"/>
                    <w:rPr>
                      <w:kern w:val="16"/>
                    </w:rPr>
                  </w:pPr>
                  <w:r w:rsidRPr="00995B57">
                    <w:rPr>
                      <w:kern w:val="16"/>
                    </w:rPr>
                    <w:t>The LLRF, upgrade to the Linac4 standard.</w:t>
                  </w:r>
                </w:p>
                <w:p w:rsidR="006E17A4" w:rsidRPr="006E17A4" w:rsidRDefault="00995B57" w:rsidP="00995B57">
                  <w:pPr>
                    <w:pStyle w:val="BodyTextIndent"/>
                    <w:ind w:firstLine="0"/>
                    <w:rPr>
                      <w:kern w:val="16"/>
                    </w:rPr>
                  </w:pPr>
                  <w:r w:rsidRPr="00995B57">
                    <w:rPr>
                      <w:rFonts w:ascii="Times" w:hAnsi="Times"/>
                      <w:kern w:val="16"/>
                      <w:szCs w:val="24"/>
                    </w:rPr>
                    <w:t xml:space="preserve">ABP ops are happy with the present system which </w:t>
                  </w:r>
                  <w:r w:rsidR="0028081B" w:rsidRPr="00995B57">
                    <w:rPr>
                      <w:rFonts w:ascii="Times" w:hAnsi="Times"/>
                      <w:kern w:val="16"/>
                      <w:szCs w:val="24"/>
                    </w:rPr>
                    <w:t>fulfils</w:t>
                  </w:r>
                  <w:r w:rsidRPr="00995B57">
                    <w:rPr>
                      <w:rFonts w:ascii="Times" w:hAnsi="Times"/>
                      <w:kern w:val="16"/>
                      <w:szCs w:val="24"/>
                    </w:rPr>
                    <w:t xml:space="preserve"> specs and is easy to use.</w:t>
                  </w:r>
                </w:p>
              </w:tc>
              <w:tc>
                <w:tcPr>
                  <w:tcW w:w="851" w:type="dxa"/>
                </w:tcPr>
                <w:p w:rsidR="006E17A4" w:rsidRDefault="00995B57" w:rsidP="006E17A4">
                  <w:pPr>
                    <w:pStyle w:val="BodyTextIndent"/>
                    <w:ind w:firstLine="0"/>
                    <w:jc w:val="center"/>
                    <w:rPr>
                      <w:kern w:val="16"/>
                    </w:rPr>
                  </w:pPr>
                  <w:r>
                    <w:rPr>
                      <w:kern w:val="16"/>
                    </w:rPr>
                    <w:t>2</w:t>
                  </w:r>
                </w:p>
              </w:tc>
              <w:tc>
                <w:tcPr>
                  <w:tcW w:w="1134" w:type="dxa"/>
                </w:tcPr>
                <w:p w:rsidR="006E17A4" w:rsidRDefault="00995B57" w:rsidP="006E17A4">
                  <w:pPr>
                    <w:pStyle w:val="BodyTextIndent"/>
                    <w:ind w:firstLine="0"/>
                    <w:jc w:val="center"/>
                    <w:rPr>
                      <w:kern w:val="16"/>
                    </w:rPr>
                  </w:pPr>
                  <w:r>
                    <w:rPr>
                      <w:kern w:val="16"/>
                    </w:rPr>
                    <w:t>BE-RF</w:t>
                  </w:r>
                </w:p>
              </w:tc>
              <w:tc>
                <w:tcPr>
                  <w:tcW w:w="1418" w:type="dxa"/>
                </w:tcPr>
                <w:p w:rsidR="006E17A4" w:rsidRDefault="00995B57" w:rsidP="006E17A4">
                  <w:pPr>
                    <w:pStyle w:val="BodyTextIndent"/>
                    <w:ind w:firstLine="0"/>
                    <w:jc w:val="center"/>
                    <w:rPr>
                      <w:kern w:val="16"/>
                    </w:rPr>
                  </w:pPr>
                  <w:r>
                    <w:rPr>
                      <w:kern w:val="16"/>
                    </w:rPr>
                    <w:t>2017</w:t>
                  </w:r>
                </w:p>
              </w:tc>
              <w:tc>
                <w:tcPr>
                  <w:tcW w:w="1418" w:type="dxa"/>
                </w:tcPr>
                <w:p w:rsidR="006E17A4" w:rsidRDefault="00995B57" w:rsidP="006E17A4">
                  <w:pPr>
                    <w:pStyle w:val="BodyTextIndent"/>
                    <w:ind w:firstLine="0"/>
                    <w:jc w:val="center"/>
                    <w:rPr>
                      <w:kern w:val="16"/>
                    </w:rPr>
                  </w:pPr>
                  <w:r>
                    <w:rPr>
                      <w:kern w:val="16"/>
                    </w:rPr>
                    <w:t>350 kCHF</w:t>
                  </w:r>
                </w:p>
                <w:p w:rsidR="00995B57" w:rsidRDefault="00995B57" w:rsidP="006E17A4">
                  <w:pPr>
                    <w:pStyle w:val="BodyTextIndent"/>
                    <w:ind w:firstLine="0"/>
                    <w:jc w:val="center"/>
                    <w:rPr>
                      <w:kern w:val="16"/>
                    </w:rPr>
                  </w:pPr>
                  <w:r>
                    <w:rPr>
                      <w:kern w:val="16"/>
                    </w:rPr>
                    <w:t>No</w:t>
                  </w:r>
                </w:p>
              </w:tc>
            </w:tr>
            <w:tr w:rsidR="006E17A4" w:rsidRPr="00974E99" w:rsidTr="00974E99">
              <w:tc>
                <w:tcPr>
                  <w:tcW w:w="4820" w:type="dxa"/>
                </w:tcPr>
                <w:p w:rsidR="00995B57" w:rsidRPr="00995B57" w:rsidRDefault="00995B57" w:rsidP="00995B57">
                  <w:pPr>
                    <w:pStyle w:val="BodyTextIndent"/>
                    <w:ind w:firstLine="0"/>
                    <w:rPr>
                      <w:kern w:val="16"/>
                    </w:rPr>
                  </w:pPr>
                  <w:r w:rsidRPr="00995B57">
                    <w:rPr>
                      <w:kern w:val="16"/>
                    </w:rPr>
                    <w:t>Spare magnets and coils.</w:t>
                  </w:r>
                </w:p>
                <w:p w:rsidR="006E17A4" w:rsidRPr="006E17A4" w:rsidRDefault="00995B57" w:rsidP="00995B57">
                  <w:pPr>
                    <w:pStyle w:val="BodyTextIndent"/>
                    <w:ind w:firstLine="0"/>
                    <w:rPr>
                      <w:kern w:val="16"/>
                    </w:rPr>
                  </w:pPr>
                  <w:r w:rsidRPr="00995B57">
                    <w:rPr>
                      <w:rFonts w:ascii="Times" w:hAnsi="Times"/>
                      <w:kern w:val="16"/>
                      <w:szCs w:val="24"/>
                    </w:rPr>
                    <w:t>Menagerie of different magnet types, without spares.</w:t>
                  </w:r>
                </w:p>
              </w:tc>
              <w:tc>
                <w:tcPr>
                  <w:tcW w:w="851" w:type="dxa"/>
                </w:tcPr>
                <w:p w:rsidR="006E17A4" w:rsidRPr="00974E99" w:rsidRDefault="00995B57" w:rsidP="006E17A4">
                  <w:pPr>
                    <w:pStyle w:val="BodyTextIndent"/>
                    <w:ind w:firstLine="0"/>
                    <w:jc w:val="center"/>
                    <w:rPr>
                      <w:kern w:val="16"/>
                    </w:rPr>
                  </w:pPr>
                  <w:r>
                    <w:rPr>
                      <w:kern w:val="16"/>
                    </w:rPr>
                    <w:t>-</w:t>
                  </w:r>
                </w:p>
              </w:tc>
              <w:tc>
                <w:tcPr>
                  <w:tcW w:w="1134" w:type="dxa"/>
                </w:tcPr>
                <w:p w:rsidR="006E17A4" w:rsidRPr="00974E99" w:rsidRDefault="00995B57" w:rsidP="006E17A4">
                  <w:pPr>
                    <w:pStyle w:val="BodyTextIndent"/>
                    <w:ind w:firstLine="0"/>
                    <w:jc w:val="center"/>
                    <w:rPr>
                      <w:kern w:val="16"/>
                    </w:rPr>
                  </w:pPr>
                  <w:r>
                    <w:rPr>
                      <w:kern w:val="16"/>
                    </w:rPr>
                    <w:t>TE-MSC</w:t>
                  </w:r>
                </w:p>
              </w:tc>
              <w:tc>
                <w:tcPr>
                  <w:tcW w:w="1418" w:type="dxa"/>
                </w:tcPr>
                <w:p w:rsidR="006E17A4" w:rsidRPr="00974E99" w:rsidRDefault="00995B57" w:rsidP="006E17A4">
                  <w:pPr>
                    <w:pStyle w:val="BodyTextIndent"/>
                    <w:ind w:firstLine="0"/>
                    <w:jc w:val="center"/>
                    <w:rPr>
                      <w:kern w:val="16"/>
                    </w:rPr>
                  </w:pPr>
                  <w:r>
                    <w:rPr>
                      <w:kern w:val="16"/>
                    </w:rPr>
                    <w:t>Spares</w:t>
                  </w:r>
                </w:p>
              </w:tc>
              <w:tc>
                <w:tcPr>
                  <w:tcW w:w="1418" w:type="dxa"/>
                </w:tcPr>
                <w:p w:rsidR="006E17A4" w:rsidRDefault="00995B57" w:rsidP="006E17A4">
                  <w:pPr>
                    <w:pStyle w:val="BodyTextIndent"/>
                    <w:ind w:firstLine="0"/>
                    <w:jc w:val="center"/>
                    <w:rPr>
                      <w:kern w:val="16"/>
                    </w:rPr>
                  </w:pPr>
                  <w:r>
                    <w:rPr>
                      <w:kern w:val="16"/>
                    </w:rPr>
                    <w:t>335 kCHF</w:t>
                  </w:r>
                </w:p>
                <w:p w:rsidR="00995B57" w:rsidRPr="00974E99" w:rsidRDefault="00995B57" w:rsidP="006E17A4">
                  <w:pPr>
                    <w:pStyle w:val="BodyTextIndent"/>
                    <w:ind w:firstLine="0"/>
                    <w:jc w:val="center"/>
                    <w:rPr>
                      <w:kern w:val="16"/>
                    </w:rPr>
                  </w:pPr>
                  <w:r>
                    <w:rPr>
                      <w:kern w:val="16"/>
                    </w:rPr>
                    <w:t>Yes</w:t>
                  </w:r>
                </w:p>
              </w:tc>
            </w:tr>
            <w:tr w:rsidR="006E17A4" w:rsidRPr="00974E99" w:rsidTr="00974E99">
              <w:tc>
                <w:tcPr>
                  <w:tcW w:w="4820" w:type="dxa"/>
                </w:tcPr>
                <w:p w:rsidR="00995B57" w:rsidRPr="00995B57" w:rsidRDefault="00995B57" w:rsidP="00995B57">
                  <w:pPr>
                    <w:pStyle w:val="BodyTextIndent"/>
                    <w:ind w:firstLine="0"/>
                    <w:rPr>
                      <w:kern w:val="16"/>
                    </w:rPr>
                  </w:pPr>
                  <w:r w:rsidRPr="00995B57">
                    <w:rPr>
                      <w:kern w:val="16"/>
                    </w:rPr>
                    <w:t>Turbo pump group renovation</w:t>
                  </w:r>
                </w:p>
                <w:p w:rsidR="00995B57" w:rsidRPr="00995B57" w:rsidRDefault="00995B57" w:rsidP="00995B57">
                  <w:pPr>
                    <w:pStyle w:val="BodyTextIndent"/>
                    <w:ind w:firstLine="0"/>
                    <w:rPr>
                      <w:kern w:val="16"/>
                    </w:rPr>
                  </w:pPr>
                  <w:r w:rsidRPr="00995B57">
                    <w:rPr>
                      <w:kern w:val="16"/>
                    </w:rPr>
                    <w:t>High gas loads from the source, even for Pb with O</w:t>
                  </w:r>
                  <w:r w:rsidRPr="00995B57">
                    <w:rPr>
                      <w:kern w:val="16"/>
                      <w:vertAlign w:val="subscript"/>
                    </w:rPr>
                    <w:t>2</w:t>
                  </w:r>
                  <w:r w:rsidRPr="00995B57">
                    <w:rPr>
                      <w:kern w:val="16"/>
                    </w:rPr>
                    <w:t>.</w:t>
                  </w:r>
                </w:p>
                <w:p w:rsidR="006E17A4" w:rsidRPr="00974E99" w:rsidRDefault="00995B57" w:rsidP="00995B57">
                  <w:pPr>
                    <w:pStyle w:val="BodyTextIndent"/>
                    <w:ind w:firstLine="0"/>
                    <w:rPr>
                      <w:kern w:val="16"/>
                    </w:rPr>
                  </w:pPr>
                  <w:r w:rsidRPr="00995B57">
                    <w:rPr>
                      <w:rFonts w:ascii="Times" w:hAnsi="Times"/>
                      <w:kern w:val="16"/>
                      <w:szCs w:val="24"/>
                    </w:rPr>
                    <w:t>Higher operational downtime. Adds remote control.</w:t>
                  </w:r>
                </w:p>
              </w:tc>
              <w:tc>
                <w:tcPr>
                  <w:tcW w:w="851" w:type="dxa"/>
                </w:tcPr>
                <w:p w:rsidR="006E17A4" w:rsidRPr="00974E99" w:rsidRDefault="00995B57" w:rsidP="006E17A4">
                  <w:pPr>
                    <w:pStyle w:val="BodyTextIndent"/>
                    <w:ind w:firstLine="0"/>
                    <w:jc w:val="center"/>
                    <w:rPr>
                      <w:kern w:val="16"/>
                    </w:rPr>
                  </w:pPr>
                  <w:r>
                    <w:rPr>
                      <w:kern w:val="16"/>
                    </w:rPr>
                    <w:t>1</w:t>
                  </w:r>
                </w:p>
              </w:tc>
              <w:tc>
                <w:tcPr>
                  <w:tcW w:w="1134" w:type="dxa"/>
                </w:tcPr>
                <w:p w:rsidR="006E17A4" w:rsidRPr="00974E99" w:rsidRDefault="00995B57" w:rsidP="006E17A4">
                  <w:pPr>
                    <w:pStyle w:val="BodyTextIndent"/>
                    <w:ind w:firstLine="0"/>
                    <w:jc w:val="center"/>
                    <w:rPr>
                      <w:kern w:val="16"/>
                    </w:rPr>
                  </w:pPr>
                  <w:r>
                    <w:rPr>
                      <w:kern w:val="16"/>
                    </w:rPr>
                    <w:t>TE-VSC</w:t>
                  </w:r>
                </w:p>
              </w:tc>
              <w:tc>
                <w:tcPr>
                  <w:tcW w:w="1418" w:type="dxa"/>
                </w:tcPr>
                <w:p w:rsidR="006E17A4" w:rsidRPr="00974E99" w:rsidRDefault="00995B57" w:rsidP="006E17A4">
                  <w:pPr>
                    <w:pStyle w:val="BodyTextIndent"/>
                    <w:ind w:firstLine="0"/>
                    <w:jc w:val="center"/>
                    <w:rPr>
                      <w:kern w:val="16"/>
                    </w:rPr>
                  </w:pPr>
                  <w:r>
                    <w:rPr>
                      <w:kern w:val="16"/>
                    </w:rPr>
                    <w:t>LS2</w:t>
                  </w:r>
                </w:p>
              </w:tc>
              <w:tc>
                <w:tcPr>
                  <w:tcW w:w="1418" w:type="dxa"/>
                </w:tcPr>
                <w:p w:rsidR="006E17A4" w:rsidRDefault="00995B57" w:rsidP="006E17A4">
                  <w:pPr>
                    <w:pStyle w:val="BodyTextIndent"/>
                    <w:ind w:firstLine="0"/>
                    <w:jc w:val="center"/>
                    <w:rPr>
                      <w:kern w:val="16"/>
                    </w:rPr>
                  </w:pPr>
                  <w:r>
                    <w:rPr>
                      <w:kern w:val="16"/>
                    </w:rPr>
                    <w:t>315 kCHF</w:t>
                  </w:r>
                </w:p>
                <w:p w:rsidR="00995B57" w:rsidRPr="00974E99" w:rsidRDefault="00995B57" w:rsidP="006E17A4">
                  <w:pPr>
                    <w:pStyle w:val="BodyTextIndent"/>
                    <w:ind w:firstLine="0"/>
                    <w:jc w:val="center"/>
                    <w:rPr>
                      <w:kern w:val="16"/>
                    </w:rPr>
                  </w:pPr>
                  <w:r>
                    <w:rPr>
                      <w:kern w:val="16"/>
                    </w:rPr>
                    <w:t>No</w:t>
                  </w:r>
                </w:p>
              </w:tc>
            </w:tr>
            <w:tr w:rsidR="006E17A4" w:rsidRPr="00974E99" w:rsidTr="00995B57">
              <w:tc>
                <w:tcPr>
                  <w:tcW w:w="4820" w:type="dxa"/>
                </w:tcPr>
                <w:p w:rsidR="00995B57" w:rsidRPr="00995B57" w:rsidRDefault="00995B57" w:rsidP="00995B57">
                  <w:pPr>
                    <w:pStyle w:val="BodyTextIndent"/>
                    <w:ind w:firstLine="0"/>
                    <w:rPr>
                      <w:kern w:val="16"/>
                    </w:rPr>
                  </w:pPr>
                  <w:r w:rsidRPr="00995B57">
                    <w:rPr>
                      <w:kern w:val="16"/>
                    </w:rPr>
                    <w:t>101 MHz amplifiers (Bertronix)</w:t>
                  </w:r>
                </w:p>
                <w:p w:rsidR="006E17A4" w:rsidRPr="00974E99" w:rsidRDefault="00995B57" w:rsidP="00995B57">
                  <w:pPr>
                    <w:pStyle w:val="BodyTextIndent"/>
                    <w:ind w:firstLine="0"/>
                    <w:rPr>
                      <w:kern w:val="16"/>
                    </w:rPr>
                  </w:pPr>
                  <w:r w:rsidRPr="00995B57">
                    <w:rPr>
                      <w:rFonts w:ascii="Times" w:hAnsi="Times"/>
                      <w:kern w:val="16"/>
                      <w:szCs w:val="24"/>
                    </w:rPr>
                    <w:t>Change driver tubes to solid state (the tubes are out of produ</w:t>
                  </w:r>
                  <w:r w:rsidR="00C64DBD">
                    <w:rPr>
                      <w:rFonts w:ascii="Times" w:hAnsi="Times"/>
                      <w:kern w:val="16"/>
                      <w:szCs w:val="24"/>
                    </w:rPr>
                    <w:t>ction and spares are finite),  R</w:t>
                  </w:r>
                  <w:r w:rsidRPr="00995B57">
                    <w:rPr>
                      <w:rFonts w:ascii="Times" w:hAnsi="Times"/>
                      <w:kern w:val="16"/>
                      <w:szCs w:val="24"/>
                    </w:rPr>
                    <w:t>eplace Step5 control and interlocks, some amplifier parts reaching end of life.</w:t>
                  </w:r>
                </w:p>
              </w:tc>
              <w:tc>
                <w:tcPr>
                  <w:tcW w:w="851" w:type="dxa"/>
                </w:tcPr>
                <w:p w:rsidR="006E17A4" w:rsidRPr="00974E99" w:rsidRDefault="00995B57" w:rsidP="006E17A4">
                  <w:pPr>
                    <w:pStyle w:val="BodyTextIndent"/>
                    <w:ind w:firstLine="0"/>
                    <w:jc w:val="center"/>
                    <w:rPr>
                      <w:kern w:val="16"/>
                    </w:rPr>
                  </w:pPr>
                  <w:r>
                    <w:rPr>
                      <w:kern w:val="16"/>
                    </w:rPr>
                    <w:t>1</w:t>
                  </w:r>
                </w:p>
              </w:tc>
              <w:tc>
                <w:tcPr>
                  <w:tcW w:w="1134" w:type="dxa"/>
                </w:tcPr>
                <w:p w:rsidR="006E17A4" w:rsidRPr="00974E99" w:rsidRDefault="00995B57" w:rsidP="006E17A4">
                  <w:pPr>
                    <w:pStyle w:val="BodyTextIndent"/>
                    <w:ind w:firstLine="0"/>
                    <w:jc w:val="center"/>
                    <w:rPr>
                      <w:kern w:val="16"/>
                    </w:rPr>
                  </w:pPr>
                  <w:r>
                    <w:rPr>
                      <w:kern w:val="16"/>
                    </w:rPr>
                    <w:t>BE-RF</w:t>
                  </w:r>
                </w:p>
              </w:tc>
              <w:tc>
                <w:tcPr>
                  <w:tcW w:w="1418" w:type="dxa"/>
                </w:tcPr>
                <w:p w:rsidR="006E17A4" w:rsidRPr="00974E99" w:rsidRDefault="00995B57" w:rsidP="006E17A4">
                  <w:pPr>
                    <w:pStyle w:val="BodyTextIndent"/>
                    <w:ind w:firstLine="0"/>
                    <w:jc w:val="center"/>
                    <w:rPr>
                      <w:kern w:val="16"/>
                    </w:rPr>
                  </w:pPr>
                  <w:r>
                    <w:rPr>
                      <w:kern w:val="16"/>
                    </w:rPr>
                    <w:t>LS2</w:t>
                  </w:r>
                </w:p>
              </w:tc>
              <w:tc>
                <w:tcPr>
                  <w:tcW w:w="1418" w:type="dxa"/>
                </w:tcPr>
                <w:p w:rsidR="00995B57" w:rsidRDefault="00995B57" w:rsidP="00995B57">
                  <w:pPr>
                    <w:pStyle w:val="BodyTextIndent"/>
                    <w:ind w:firstLine="0"/>
                    <w:jc w:val="center"/>
                    <w:rPr>
                      <w:kern w:val="16"/>
                    </w:rPr>
                  </w:pPr>
                  <w:r>
                    <w:rPr>
                      <w:kern w:val="16"/>
                    </w:rPr>
                    <w:t>250 kCHF</w:t>
                  </w:r>
                </w:p>
                <w:p w:rsidR="00995B57" w:rsidRPr="00974E99" w:rsidRDefault="00995B57" w:rsidP="00995B57">
                  <w:pPr>
                    <w:pStyle w:val="BodyTextIndent"/>
                    <w:ind w:firstLine="0"/>
                    <w:jc w:val="center"/>
                    <w:rPr>
                      <w:kern w:val="16"/>
                    </w:rPr>
                  </w:pPr>
                  <w:r>
                    <w:rPr>
                      <w:kern w:val="16"/>
                    </w:rPr>
                    <w:t>No</w:t>
                  </w:r>
                </w:p>
              </w:tc>
            </w:tr>
            <w:tr w:rsidR="00995B57" w:rsidRPr="00974E99" w:rsidTr="00995B57">
              <w:tc>
                <w:tcPr>
                  <w:tcW w:w="4820" w:type="dxa"/>
                </w:tcPr>
                <w:p w:rsidR="00995B57" w:rsidRPr="00995B57" w:rsidRDefault="00995B57" w:rsidP="00995B57">
                  <w:pPr>
                    <w:pStyle w:val="BodyTextIndent"/>
                    <w:ind w:firstLine="0"/>
                    <w:rPr>
                      <w:kern w:val="16"/>
                    </w:rPr>
                  </w:pPr>
                  <w:r w:rsidRPr="00995B57">
                    <w:rPr>
                      <w:kern w:val="16"/>
                    </w:rPr>
                    <w:t>Replace Thompson 14GHz Generator</w:t>
                  </w:r>
                </w:p>
                <w:p w:rsidR="00995B57" w:rsidRPr="00995B57" w:rsidRDefault="00995B57" w:rsidP="00995B57">
                  <w:pPr>
                    <w:pStyle w:val="BodyTextIndent"/>
                    <w:ind w:firstLine="0"/>
                    <w:rPr>
                      <w:kern w:val="16"/>
                    </w:rPr>
                  </w:pPr>
                  <w:r w:rsidRPr="00995B57">
                    <w:rPr>
                      <w:kern w:val="16"/>
                    </w:rPr>
                    <w:t>Can delay this until the Thompson generator fails.</w:t>
                  </w:r>
                </w:p>
                <w:p w:rsidR="00995B57" w:rsidRPr="00995B57" w:rsidRDefault="00995B57" w:rsidP="00995B57">
                  <w:pPr>
                    <w:pStyle w:val="BodyTextIndent"/>
                    <w:ind w:firstLine="0"/>
                    <w:rPr>
                      <w:kern w:val="16"/>
                    </w:rPr>
                  </w:pPr>
                  <w:r w:rsidRPr="00995B57">
                    <w:rPr>
                      <w:rFonts w:ascii="Times" w:hAnsi="Times"/>
                      <w:kern w:val="16"/>
                      <w:szCs w:val="24"/>
                    </w:rPr>
                    <w:t>But that would mean 1 year without a spare.</w:t>
                  </w:r>
                </w:p>
              </w:tc>
              <w:tc>
                <w:tcPr>
                  <w:tcW w:w="851" w:type="dxa"/>
                </w:tcPr>
                <w:p w:rsidR="00995B57" w:rsidRDefault="00995B57" w:rsidP="006E17A4">
                  <w:pPr>
                    <w:pStyle w:val="BodyTextIndent"/>
                    <w:ind w:firstLine="0"/>
                    <w:jc w:val="center"/>
                    <w:rPr>
                      <w:kern w:val="16"/>
                    </w:rPr>
                  </w:pPr>
                  <w:r>
                    <w:rPr>
                      <w:kern w:val="16"/>
                    </w:rPr>
                    <w:t>2</w:t>
                  </w:r>
                </w:p>
              </w:tc>
              <w:tc>
                <w:tcPr>
                  <w:tcW w:w="1134" w:type="dxa"/>
                </w:tcPr>
                <w:p w:rsidR="00995B57" w:rsidRDefault="00995B57" w:rsidP="006E17A4">
                  <w:pPr>
                    <w:pStyle w:val="BodyTextIndent"/>
                    <w:ind w:firstLine="0"/>
                    <w:jc w:val="center"/>
                    <w:rPr>
                      <w:kern w:val="16"/>
                    </w:rPr>
                  </w:pPr>
                  <w:r>
                    <w:rPr>
                      <w:kern w:val="16"/>
                    </w:rPr>
                    <w:t>BE-ABP</w:t>
                  </w:r>
                </w:p>
              </w:tc>
              <w:tc>
                <w:tcPr>
                  <w:tcW w:w="1418" w:type="dxa"/>
                </w:tcPr>
                <w:p w:rsidR="00995B57" w:rsidRDefault="00995B57" w:rsidP="006E17A4">
                  <w:pPr>
                    <w:pStyle w:val="BodyTextIndent"/>
                    <w:ind w:firstLine="0"/>
                    <w:jc w:val="center"/>
                    <w:rPr>
                      <w:kern w:val="16"/>
                    </w:rPr>
                  </w:pPr>
                  <w:r>
                    <w:rPr>
                      <w:kern w:val="16"/>
                    </w:rPr>
                    <w:t>Wait for failure</w:t>
                  </w:r>
                </w:p>
              </w:tc>
              <w:tc>
                <w:tcPr>
                  <w:tcW w:w="1418" w:type="dxa"/>
                </w:tcPr>
                <w:p w:rsidR="00995B57" w:rsidRDefault="00995B57" w:rsidP="00995B57">
                  <w:pPr>
                    <w:pStyle w:val="BodyTextIndent"/>
                    <w:ind w:firstLine="0"/>
                    <w:jc w:val="center"/>
                    <w:rPr>
                      <w:kern w:val="16"/>
                    </w:rPr>
                  </w:pPr>
                  <w:r>
                    <w:rPr>
                      <w:kern w:val="16"/>
                    </w:rPr>
                    <w:t>150 kCHF</w:t>
                  </w:r>
                </w:p>
                <w:p w:rsidR="00995B57" w:rsidRDefault="00995B57" w:rsidP="00995B57">
                  <w:pPr>
                    <w:pStyle w:val="BodyTextIndent"/>
                    <w:ind w:firstLine="0"/>
                    <w:jc w:val="center"/>
                    <w:rPr>
                      <w:kern w:val="16"/>
                    </w:rPr>
                  </w:pPr>
                  <w:r>
                    <w:rPr>
                      <w:kern w:val="16"/>
                    </w:rPr>
                    <w:t>No</w:t>
                  </w:r>
                </w:p>
              </w:tc>
            </w:tr>
            <w:tr w:rsidR="00995B57" w:rsidRPr="00974E99" w:rsidTr="00995B57">
              <w:tc>
                <w:tcPr>
                  <w:tcW w:w="4820" w:type="dxa"/>
                </w:tcPr>
                <w:p w:rsidR="00995B57" w:rsidRPr="00995B57" w:rsidRDefault="00995B57" w:rsidP="00995B57">
                  <w:pPr>
                    <w:pStyle w:val="BodyTextIndent"/>
                    <w:ind w:firstLine="0"/>
                    <w:rPr>
                      <w:kern w:val="16"/>
                    </w:rPr>
                  </w:pPr>
                  <w:r w:rsidRPr="00995B57">
                    <w:rPr>
                      <w:kern w:val="16"/>
                    </w:rPr>
                    <w:t>Replace Critical Source spares when used</w:t>
                  </w:r>
                </w:p>
              </w:tc>
              <w:tc>
                <w:tcPr>
                  <w:tcW w:w="851" w:type="dxa"/>
                </w:tcPr>
                <w:p w:rsidR="00995B57" w:rsidRDefault="00995B57" w:rsidP="006E17A4">
                  <w:pPr>
                    <w:pStyle w:val="BodyTextIndent"/>
                    <w:ind w:firstLine="0"/>
                    <w:jc w:val="center"/>
                    <w:rPr>
                      <w:kern w:val="16"/>
                    </w:rPr>
                  </w:pPr>
                  <w:r>
                    <w:rPr>
                      <w:kern w:val="16"/>
                    </w:rPr>
                    <w:t>-</w:t>
                  </w:r>
                </w:p>
              </w:tc>
              <w:tc>
                <w:tcPr>
                  <w:tcW w:w="1134" w:type="dxa"/>
                </w:tcPr>
                <w:p w:rsidR="00995B57" w:rsidRDefault="00995B57" w:rsidP="006E17A4">
                  <w:pPr>
                    <w:pStyle w:val="BodyTextIndent"/>
                    <w:ind w:firstLine="0"/>
                    <w:jc w:val="center"/>
                    <w:rPr>
                      <w:kern w:val="16"/>
                    </w:rPr>
                  </w:pPr>
                  <w:r>
                    <w:rPr>
                      <w:kern w:val="16"/>
                    </w:rPr>
                    <w:t>BE-ABP</w:t>
                  </w:r>
                </w:p>
              </w:tc>
              <w:tc>
                <w:tcPr>
                  <w:tcW w:w="1418" w:type="dxa"/>
                </w:tcPr>
                <w:p w:rsidR="00995B57" w:rsidRDefault="00995B57" w:rsidP="006E17A4">
                  <w:pPr>
                    <w:pStyle w:val="BodyTextIndent"/>
                    <w:ind w:firstLine="0"/>
                    <w:jc w:val="center"/>
                    <w:rPr>
                      <w:kern w:val="16"/>
                    </w:rPr>
                  </w:pPr>
                  <w:r>
                    <w:rPr>
                      <w:kern w:val="16"/>
                    </w:rPr>
                    <w:t>2014-2018</w:t>
                  </w:r>
                </w:p>
              </w:tc>
              <w:tc>
                <w:tcPr>
                  <w:tcW w:w="1418" w:type="dxa"/>
                </w:tcPr>
                <w:p w:rsidR="00995B57" w:rsidRDefault="00995B57" w:rsidP="00995B57">
                  <w:pPr>
                    <w:pStyle w:val="BodyTextIndent"/>
                    <w:ind w:firstLine="0"/>
                    <w:jc w:val="center"/>
                    <w:rPr>
                      <w:kern w:val="16"/>
                    </w:rPr>
                  </w:pPr>
                  <w:r>
                    <w:rPr>
                      <w:kern w:val="16"/>
                    </w:rPr>
                    <w:t>150 kCHF</w:t>
                  </w:r>
                </w:p>
                <w:p w:rsidR="00995B57" w:rsidRDefault="00995B57" w:rsidP="00995B57">
                  <w:pPr>
                    <w:pStyle w:val="BodyTextIndent"/>
                    <w:ind w:firstLine="0"/>
                    <w:jc w:val="center"/>
                    <w:rPr>
                      <w:kern w:val="16"/>
                    </w:rPr>
                  </w:pPr>
                  <w:r>
                    <w:rPr>
                      <w:kern w:val="16"/>
                    </w:rPr>
                    <w:t>Yes</w:t>
                  </w:r>
                </w:p>
              </w:tc>
            </w:tr>
            <w:tr w:rsidR="00995B57" w:rsidRPr="00974E99" w:rsidTr="00995B57">
              <w:tc>
                <w:tcPr>
                  <w:tcW w:w="4820" w:type="dxa"/>
                </w:tcPr>
                <w:p w:rsidR="00995B57" w:rsidRPr="00995B57" w:rsidRDefault="00995B57" w:rsidP="00995B57">
                  <w:pPr>
                    <w:pStyle w:val="BodyTextIndent"/>
                    <w:ind w:firstLine="0"/>
                    <w:rPr>
                      <w:kern w:val="16"/>
                    </w:rPr>
                  </w:pPr>
                  <w:r w:rsidRPr="00995B57">
                    <w:rPr>
                      <w:kern w:val="16"/>
                    </w:rPr>
                    <w:t>BCT hardware consolidation</w:t>
                  </w:r>
                </w:p>
                <w:p w:rsidR="00995B57" w:rsidRPr="00995B57" w:rsidRDefault="008F21DF" w:rsidP="00995B57">
                  <w:pPr>
                    <w:pStyle w:val="BodyTextIndent"/>
                    <w:ind w:firstLine="0"/>
                    <w:rPr>
                      <w:kern w:val="16"/>
                    </w:rPr>
                  </w:pPr>
                  <w:r>
                    <w:rPr>
                      <w:kern w:val="16"/>
                    </w:rPr>
                    <w:t>Replace 40yo BCT on ITH transfer line</w:t>
                  </w:r>
                </w:p>
              </w:tc>
              <w:tc>
                <w:tcPr>
                  <w:tcW w:w="851" w:type="dxa"/>
                </w:tcPr>
                <w:p w:rsidR="00995B57" w:rsidRDefault="008F21DF" w:rsidP="006E17A4">
                  <w:pPr>
                    <w:pStyle w:val="BodyTextIndent"/>
                    <w:ind w:firstLine="0"/>
                    <w:jc w:val="center"/>
                    <w:rPr>
                      <w:kern w:val="16"/>
                    </w:rPr>
                  </w:pPr>
                  <w:r>
                    <w:rPr>
                      <w:kern w:val="16"/>
                    </w:rPr>
                    <w:t>-</w:t>
                  </w:r>
                </w:p>
              </w:tc>
              <w:tc>
                <w:tcPr>
                  <w:tcW w:w="1134" w:type="dxa"/>
                </w:tcPr>
                <w:p w:rsidR="00995B57" w:rsidRDefault="00995B57" w:rsidP="006E17A4">
                  <w:pPr>
                    <w:pStyle w:val="BodyTextIndent"/>
                    <w:ind w:firstLine="0"/>
                    <w:jc w:val="center"/>
                    <w:rPr>
                      <w:kern w:val="16"/>
                    </w:rPr>
                  </w:pPr>
                  <w:r>
                    <w:rPr>
                      <w:kern w:val="16"/>
                    </w:rPr>
                    <w:t>BE-BI</w:t>
                  </w:r>
                </w:p>
              </w:tc>
              <w:tc>
                <w:tcPr>
                  <w:tcW w:w="1418" w:type="dxa"/>
                </w:tcPr>
                <w:p w:rsidR="00995B57" w:rsidRDefault="00995B57" w:rsidP="006E17A4">
                  <w:pPr>
                    <w:pStyle w:val="BodyTextIndent"/>
                    <w:ind w:firstLine="0"/>
                    <w:jc w:val="center"/>
                    <w:rPr>
                      <w:kern w:val="16"/>
                    </w:rPr>
                  </w:pPr>
                  <w:r>
                    <w:rPr>
                      <w:kern w:val="16"/>
                    </w:rPr>
                    <w:t>2014</w:t>
                  </w:r>
                </w:p>
              </w:tc>
              <w:tc>
                <w:tcPr>
                  <w:tcW w:w="1418" w:type="dxa"/>
                </w:tcPr>
                <w:p w:rsidR="00995B57" w:rsidRDefault="00995B57" w:rsidP="00995B57">
                  <w:pPr>
                    <w:pStyle w:val="BodyTextIndent"/>
                    <w:ind w:firstLine="0"/>
                    <w:jc w:val="center"/>
                    <w:rPr>
                      <w:kern w:val="16"/>
                    </w:rPr>
                  </w:pPr>
                  <w:r>
                    <w:rPr>
                      <w:kern w:val="16"/>
                    </w:rPr>
                    <w:t>50 kCHF</w:t>
                  </w:r>
                </w:p>
                <w:p w:rsidR="00995B57" w:rsidRDefault="008F21DF" w:rsidP="00995B57">
                  <w:pPr>
                    <w:pStyle w:val="BodyTextIndent"/>
                    <w:ind w:firstLine="0"/>
                    <w:jc w:val="center"/>
                    <w:rPr>
                      <w:kern w:val="16"/>
                    </w:rPr>
                  </w:pPr>
                  <w:r>
                    <w:rPr>
                      <w:kern w:val="16"/>
                    </w:rPr>
                    <w:t>Yes</w:t>
                  </w:r>
                </w:p>
              </w:tc>
            </w:tr>
            <w:tr w:rsidR="00995B57" w:rsidRPr="00974E99" w:rsidTr="00995B57">
              <w:tc>
                <w:tcPr>
                  <w:tcW w:w="4820" w:type="dxa"/>
                </w:tcPr>
                <w:p w:rsidR="00995B57" w:rsidRPr="00995B57" w:rsidRDefault="00995B57" w:rsidP="00995B57">
                  <w:pPr>
                    <w:pStyle w:val="BodyTextIndent"/>
                    <w:ind w:firstLine="0"/>
                    <w:rPr>
                      <w:kern w:val="16"/>
                    </w:rPr>
                  </w:pPr>
                  <w:r w:rsidRPr="00995B57">
                    <w:rPr>
                      <w:kern w:val="16"/>
                    </w:rPr>
                    <w:t>Stripper Mechanism – Old, unmaintained design with no spare bellow.</w:t>
                  </w:r>
                </w:p>
                <w:p w:rsidR="003B30B0" w:rsidRPr="003B30B0" w:rsidRDefault="003B30B0" w:rsidP="00995B57">
                  <w:pPr>
                    <w:pStyle w:val="BodyTextIndent"/>
                    <w:ind w:firstLine="0"/>
                    <w:rPr>
                      <w:rFonts w:ascii="Times" w:hAnsi="Times"/>
                      <w:kern w:val="16"/>
                      <w:szCs w:val="24"/>
                    </w:rPr>
                  </w:pPr>
                  <w:r>
                    <w:rPr>
                      <w:rFonts w:ascii="Times" w:hAnsi="Times"/>
                      <w:kern w:val="16"/>
                      <w:szCs w:val="24"/>
                    </w:rPr>
                    <w:t>Almost complete.</w:t>
                  </w:r>
                </w:p>
              </w:tc>
              <w:tc>
                <w:tcPr>
                  <w:tcW w:w="851" w:type="dxa"/>
                </w:tcPr>
                <w:p w:rsidR="00995B57" w:rsidRDefault="00995B57" w:rsidP="006E17A4">
                  <w:pPr>
                    <w:pStyle w:val="BodyTextIndent"/>
                    <w:ind w:firstLine="0"/>
                    <w:jc w:val="center"/>
                    <w:rPr>
                      <w:kern w:val="16"/>
                    </w:rPr>
                  </w:pPr>
                  <w:r>
                    <w:rPr>
                      <w:kern w:val="16"/>
                    </w:rPr>
                    <w:t>-</w:t>
                  </w:r>
                </w:p>
              </w:tc>
              <w:tc>
                <w:tcPr>
                  <w:tcW w:w="1134" w:type="dxa"/>
                </w:tcPr>
                <w:p w:rsidR="00995B57" w:rsidRDefault="00995B57" w:rsidP="006E17A4">
                  <w:pPr>
                    <w:pStyle w:val="BodyTextIndent"/>
                    <w:ind w:firstLine="0"/>
                    <w:jc w:val="center"/>
                    <w:rPr>
                      <w:kern w:val="16"/>
                    </w:rPr>
                  </w:pPr>
                  <w:r>
                    <w:rPr>
                      <w:kern w:val="16"/>
                    </w:rPr>
                    <w:t>EN-STI</w:t>
                  </w:r>
                </w:p>
              </w:tc>
              <w:tc>
                <w:tcPr>
                  <w:tcW w:w="1418" w:type="dxa"/>
                </w:tcPr>
                <w:p w:rsidR="00995B57" w:rsidRDefault="00995B57" w:rsidP="006E17A4">
                  <w:pPr>
                    <w:pStyle w:val="BodyTextIndent"/>
                    <w:ind w:firstLine="0"/>
                    <w:jc w:val="center"/>
                    <w:rPr>
                      <w:kern w:val="16"/>
                    </w:rPr>
                  </w:pPr>
                  <w:r>
                    <w:rPr>
                      <w:kern w:val="16"/>
                    </w:rPr>
                    <w:t>2015</w:t>
                  </w:r>
                </w:p>
              </w:tc>
              <w:tc>
                <w:tcPr>
                  <w:tcW w:w="1418" w:type="dxa"/>
                </w:tcPr>
                <w:p w:rsidR="00995B57" w:rsidRDefault="00995B57" w:rsidP="00995B57">
                  <w:pPr>
                    <w:pStyle w:val="BodyTextIndent"/>
                    <w:ind w:firstLine="0"/>
                    <w:jc w:val="center"/>
                    <w:rPr>
                      <w:kern w:val="16"/>
                    </w:rPr>
                  </w:pPr>
                  <w:r>
                    <w:rPr>
                      <w:kern w:val="16"/>
                    </w:rPr>
                    <w:t>106 kCHF</w:t>
                  </w:r>
                </w:p>
                <w:p w:rsidR="00995B57" w:rsidRDefault="00995B57" w:rsidP="00995B57">
                  <w:pPr>
                    <w:pStyle w:val="BodyTextIndent"/>
                    <w:ind w:firstLine="0"/>
                    <w:jc w:val="center"/>
                    <w:rPr>
                      <w:kern w:val="16"/>
                    </w:rPr>
                  </w:pPr>
                  <w:r>
                    <w:rPr>
                      <w:kern w:val="16"/>
                    </w:rPr>
                    <w:t>Yes</w:t>
                  </w:r>
                </w:p>
              </w:tc>
            </w:tr>
            <w:tr w:rsidR="00995B57" w:rsidRPr="00974E99" w:rsidTr="00974E99">
              <w:tc>
                <w:tcPr>
                  <w:tcW w:w="4820" w:type="dxa"/>
                  <w:tcBorders>
                    <w:bottom w:val="single" w:sz="12" w:space="0" w:color="auto"/>
                  </w:tcBorders>
                </w:tcPr>
                <w:p w:rsidR="00995B57" w:rsidRPr="00995B57" w:rsidRDefault="00995B57" w:rsidP="00995B57">
                  <w:pPr>
                    <w:pStyle w:val="BodyTextIndent"/>
                    <w:ind w:firstLine="0"/>
                    <w:rPr>
                      <w:kern w:val="16"/>
                    </w:rPr>
                  </w:pPr>
                  <w:r w:rsidRPr="00995B57">
                    <w:rPr>
                      <w:kern w:val="16"/>
                    </w:rPr>
                    <w:t>Low energy beam bending chamber</w:t>
                  </w:r>
                </w:p>
                <w:p w:rsidR="00995B57" w:rsidRPr="00995B57" w:rsidRDefault="00995B57" w:rsidP="00995B57">
                  <w:pPr>
                    <w:pStyle w:val="BodyTextIndent"/>
                    <w:ind w:firstLine="0"/>
                    <w:rPr>
                      <w:kern w:val="16"/>
                    </w:rPr>
                  </w:pPr>
                  <w:r w:rsidRPr="00995B57">
                    <w:rPr>
                      <w:rFonts w:ascii="Times" w:hAnsi="Times"/>
                      <w:kern w:val="16"/>
                      <w:szCs w:val="24"/>
                    </w:rPr>
                    <w:t>Missing spare for this complex rectangular chamber, suffering from beam damage. Being financed from operation money, which leads to holes elsewhere.</w:t>
                  </w:r>
                </w:p>
              </w:tc>
              <w:tc>
                <w:tcPr>
                  <w:tcW w:w="851" w:type="dxa"/>
                  <w:tcBorders>
                    <w:bottom w:val="single" w:sz="12" w:space="0" w:color="auto"/>
                  </w:tcBorders>
                </w:tcPr>
                <w:p w:rsidR="00995B57" w:rsidRDefault="00995B57" w:rsidP="006E17A4">
                  <w:pPr>
                    <w:pStyle w:val="BodyTextIndent"/>
                    <w:ind w:firstLine="0"/>
                    <w:jc w:val="center"/>
                    <w:rPr>
                      <w:kern w:val="16"/>
                    </w:rPr>
                  </w:pPr>
                  <w:r>
                    <w:rPr>
                      <w:kern w:val="16"/>
                    </w:rPr>
                    <w:t>1</w:t>
                  </w:r>
                </w:p>
              </w:tc>
              <w:tc>
                <w:tcPr>
                  <w:tcW w:w="1134" w:type="dxa"/>
                  <w:tcBorders>
                    <w:bottom w:val="single" w:sz="12" w:space="0" w:color="auto"/>
                  </w:tcBorders>
                </w:tcPr>
                <w:p w:rsidR="00995B57" w:rsidRDefault="00995B57" w:rsidP="006E17A4">
                  <w:pPr>
                    <w:pStyle w:val="BodyTextIndent"/>
                    <w:ind w:firstLine="0"/>
                    <w:jc w:val="center"/>
                    <w:rPr>
                      <w:kern w:val="16"/>
                    </w:rPr>
                  </w:pPr>
                  <w:r>
                    <w:rPr>
                      <w:kern w:val="16"/>
                    </w:rPr>
                    <w:t>TE-VSC</w:t>
                  </w:r>
                </w:p>
              </w:tc>
              <w:tc>
                <w:tcPr>
                  <w:tcW w:w="1418" w:type="dxa"/>
                  <w:tcBorders>
                    <w:bottom w:val="single" w:sz="12" w:space="0" w:color="auto"/>
                  </w:tcBorders>
                </w:tcPr>
                <w:p w:rsidR="00995B57" w:rsidRDefault="00995B57" w:rsidP="006E17A4">
                  <w:pPr>
                    <w:pStyle w:val="BodyTextIndent"/>
                    <w:ind w:firstLine="0"/>
                    <w:jc w:val="center"/>
                    <w:rPr>
                      <w:kern w:val="16"/>
                    </w:rPr>
                  </w:pPr>
                  <w:r>
                    <w:rPr>
                      <w:kern w:val="16"/>
                    </w:rPr>
                    <w:t>Now</w:t>
                  </w:r>
                </w:p>
              </w:tc>
              <w:tc>
                <w:tcPr>
                  <w:tcW w:w="1418" w:type="dxa"/>
                  <w:tcBorders>
                    <w:bottom w:val="single" w:sz="12" w:space="0" w:color="auto"/>
                  </w:tcBorders>
                </w:tcPr>
                <w:p w:rsidR="00995B57" w:rsidRDefault="00995B57" w:rsidP="00995B57">
                  <w:pPr>
                    <w:pStyle w:val="BodyTextIndent"/>
                    <w:ind w:firstLine="0"/>
                    <w:jc w:val="center"/>
                    <w:rPr>
                      <w:kern w:val="16"/>
                    </w:rPr>
                  </w:pPr>
                  <w:r>
                    <w:rPr>
                      <w:kern w:val="16"/>
                    </w:rPr>
                    <w:t>100 kCHF</w:t>
                  </w:r>
                </w:p>
                <w:p w:rsidR="00995B57" w:rsidRDefault="00995B57" w:rsidP="00995B57">
                  <w:pPr>
                    <w:pStyle w:val="BodyTextIndent"/>
                    <w:ind w:firstLine="0"/>
                    <w:jc w:val="center"/>
                    <w:rPr>
                      <w:kern w:val="16"/>
                    </w:rPr>
                  </w:pPr>
                  <w:r>
                    <w:rPr>
                      <w:kern w:val="16"/>
                    </w:rPr>
                    <w:t>No</w:t>
                  </w:r>
                </w:p>
              </w:tc>
            </w:tr>
          </w:tbl>
          <w:p w:rsidR="00F41E82" w:rsidRDefault="00F41E82" w:rsidP="00F41E82">
            <w:pPr>
              <w:pStyle w:val="BodyTextIndent"/>
            </w:pPr>
          </w:p>
          <w:p w:rsidR="00F1564F" w:rsidRDefault="00F1564F" w:rsidP="00F41E82">
            <w:pPr>
              <w:pStyle w:val="BodyTextIndent"/>
            </w:pPr>
          </w:p>
          <w:p w:rsidR="00F1564F" w:rsidRDefault="00F1564F" w:rsidP="00F41E82">
            <w:pPr>
              <w:pStyle w:val="BodyTextIndent"/>
            </w:pPr>
          </w:p>
          <w:p w:rsidR="00F1564F" w:rsidRDefault="00F1564F" w:rsidP="00F41E82">
            <w:pPr>
              <w:pStyle w:val="BodyTextIndent"/>
            </w:pPr>
          </w:p>
          <w:p w:rsidR="00F1564F" w:rsidRDefault="00F1564F" w:rsidP="00F41E82">
            <w:pPr>
              <w:pStyle w:val="BodyTextIndent"/>
            </w:pPr>
          </w:p>
          <w:p w:rsidR="00F1564F" w:rsidRDefault="00F1564F" w:rsidP="00F41E82">
            <w:pPr>
              <w:pStyle w:val="BodyTextIndent"/>
            </w:pPr>
          </w:p>
          <w:p w:rsidR="00F1564F" w:rsidRDefault="00F1564F" w:rsidP="00F41E82">
            <w:pPr>
              <w:pStyle w:val="BodyTextIndent"/>
            </w:pPr>
          </w:p>
          <w:p w:rsidR="00535E10" w:rsidRPr="00D813F5" w:rsidRDefault="00535E10" w:rsidP="00535E10">
            <w:pPr>
              <w:pStyle w:val="FigureCaptionMultiLine"/>
              <w:rPr>
                <w:kern w:val="16"/>
              </w:rPr>
            </w:pPr>
            <w:r w:rsidRPr="00D813F5">
              <w:rPr>
                <w:kern w:val="16"/>
              </w:rPr>
              <w:lastRenderedPageBreak/>
              <w:t>Table 3</w:t>
            </w:r>
            <w:r>
              <w:rPr>
                <w:kern w:val="16"/>
              </w:rPr>
              <w:t>b</w:t>
            </w:r>
            <w:r w:rsidRPr="00D813F5">
              <w:rPr>
                <w:kern w:val="16"/>
              </w:rPr>
              <w:t>: Linac3 consolidation requests.</w:t>
            </w:r>
          </w:p>
          <w:tbl>
            <w:tblPr>
              <w:tblStyle w:val="TableGrid"/>
              <w:tblW w:w="96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851"/>
              <w:gridCol w:w="1134"/>
              <w:gridCol w:w="1418"/>
              <w:gridCol w:w="1418"/>
            </w:tblGrid>
            <w:tr w:rsidR="00F41E82" w:rsidTr="0078718A">
              <w:tc>
                <w:tcPr>
                  <w:tcW w:w="4820" w:type="dxa"/>
                  <w:tcBorders>
                    <w:top w:val="single" w:sz="12" w:space="0" w:color="auto"/>
                    <w:bottom w:val="single" w:sz="12" w:space="0" w:color="auto"/>
                  </w:tcBorders>
                </w:tcPr>
                <w:p w:rsidR="00F41E82" w:rsidRDefault="00F41E82" w:rsidP="00F41E82">
                  <w:pPr>
                    <w:pStyle w:val="BodyTextIndent"/>
                    <w:ind w:firstLine="0"/>
                    <w:rPr>
                      <w:kern w:val="16"/>
                    </w:rPr>
                  </w:pPr>
                  <w:r>
                    <w:rPr>
                      <w:kern w:val="16"/>
                    </w:rPr>
                    <w:t>Item</w:t>
                  </w:r>
                </w:p>
              </w:tc>
              <w:tc>
                <w:tcPr>
                  <w:tcW w:w="851" w:type="dxa"/>
                  <w:tcBorders>
                    <w:top w:val="single" w:sz="12" w:space="0" w:color="auto"/>
                    <w:bottom w:val="single" w:sz="12" w:space="0" w:color="auto"/>
                  </w:tcBorders>
                </w:tcPr>
                <w:p w:rsidR="00F41E82" w:rsidRDefault="00F41E82" w:rsidP="00F41E82">
                  <w:pPr>
                    <w:pStyle w:val="BodyTextIndent"/>
                    <w:ind w:firstLine="0"/>
                    <w:jc w:val="center"/>
                    <w:rPr>
                      <w:kern w:val="16"/>
                    </w:rPr>
                  </w:pPr>
                  <w:r>
                    <w:rPr>
                      <w:kern w:val="16"/>
                    </w:rPr>
                    <w:t>Priority</w:t>
                  </w:r>
                </w:p>
              </w:tc>
              <w:tc>
                <w:tcPr>
                  <w:tcW w:w="1134" w:type="dxa"/>
                  <w:tcBorders>
                    <w:top w:val="single" w:sz="12" w:space="0" w:color="auto"/>
                    <w:bottom w:val="single" w:sz="12" w:space="0" w:color="auto"/>
                  </w:tcBorders>
                </w:tcPr>
                <w:p w:rsidR="00F41E82" w:rsidRDefault="00F41E82" w:rsidP="00F41E82">
                  <w:pPr>
                    <w:pStyle w:val="BodyTextIndent"/>
                    <w:ind w:firstLine="0"/>
                    <w:jc w:val="center"/>
                    <w:rPr>
                      <w:kern w:val="16"/>
                    </w:rPr>
                  </w:pPr>
                  <w:r>
                    <w:rPr>
                      <w:kern w:val="16"/>
                    </w:rPr>
                    <w:t>Group</w:t>
                  </w:r>
                </w:p>
              </w:tc>
              <w:tc>
                <w:tcPr>
                  <w:tcW w:w="1418" w:type="dxa"/>
                  <w:tcBorders>
                    <w:top w:val="single" w:sz="12" w:space="0" w:color="auto"/>
                    <w:bottom w:val="single" w:sz="12" w:space="0" w:color="auto"/>
                  </w:tcBorders>
                </w:tcPr>
                <w:p w:rsidR="00F41E82" w:rsidRDefault="00F41E82" w:rsidP="00F41E82">
                  <w:pPr>
                    <w:pStyle w:val="BodyTextIndent"/>
                    <w:ind w:firstLine="0"/>
                    <w:jc w:val="center"/>
                    <w:rPr>
                      <w:kern w:val="16"/>
                    </w:rPr>
                  </w:pPr>
                  <w:r>
                    <w:rPr>
                      <w:kern w:val="16"/>
                    </w:rPr>
                    <w:t>When</w:t>
                  </w:r>
                </w:p>
              </w:tc>
              <w:tc>
                <w:tcPr>
                  <w:tcW w:w="1418" w:type="dxa"/>
                  <w:tcBorders>
                    <w:top w:val="single" w:sz="12" w:space="0" w:color="auto"/>
                    <w:bottom w:val="single" w:sz="12" w:space="0" w:color="auto"/>
                  </w:tcBorders>
                </w:tcPr>
                <w:p w:rsidR="00F41E82" w:rsidRDefault="00F41E82" w:rsidP="00F41E82">
                  <w:pPr>
                    <w:pStyle w:val="BodyTextIndent"/>
                    <w:ind w:firstLine="0"/>
                    <w:jc w:val="center"/>
                    <w:rPr>
                      <w:kern w:val="16"/>
                    </w:rPr>
                  </w:pPr>
                  <w:r>
                    <w:rPr>
                      <w:kern w:val="16"/>
                    </w:rPr>
                    <w:t>Approved</w:t>
                  </w:r>
                </w:p>
              </w:tc>
            </w:tr>
            <w:tr w:rsidR="00F41E82" w:rsidTr="0078718A">
              <w:tc>
                <w:tcPr>
                  <w:tcW w:w="4820" w:type="dxa"/>
                  <w:tcBorders>
                    <w:top w:val="single" w:sz="12" w:space="0" w:color="auto"/>
                  </w:tcBorders>
                </w:tcPr>
                <w:p w:rsidR="00F41E82" w:rsidRDefault="00F41E82" w:rsidP="00F41E82">
                  <w:pPr>
                    <w:pStyle w:val="BodyTextIndent"/>
                    <w:ind w:firstLine="0"/>
                    <w:rPr>
                      <w:kern w:val="16"/>
                    </w:rPr>
                  </w:pPr>
                  <w:r w:rsidRPr="00F41E82">
                    <w:rPr>
                      <w:kern w:val="16"/>
                    </w:rPr>
                    <w:t>The driver amplifiers for bunchers, debuncher and ramping cavity; Missing spare amplifier for ramping cavity. All three systems are becoming obsolete.</w:t>
                  </w:r>
                </w:p>
              </w:tc>
              <w:tc>
                <w:tcPr>
                  <w:tcW w:w="851" w:type="dxa"/>
                  <w:tcBorders>
                    <w:top w:val="single" w:sz="12" w:space="0" w:color="auto"/>
                  </w:tcBorders>
                </w:tcPr>
                <w:p w:rsidR="00F41E82" w:rsidRDefault="00F41E82" w:rsidP="00F41E82">
                  <w:pPr>
                    <w:pStyle w:val="BodyTextIndent"/>
                    <w:ind w:firstLine="0"/>
                    <w:jc w:val="center"/>
                    <w:rPr>
                      <w:kern w:val="16"/>
                    </w:rPr>
                  </w:pPr>
                  <w:r>
                    <w:rPr>
                      <w:kern w:val="16"/>
                    </w:rPr>
                    <w:t>1</w:t>
                  </w:r>
                </w:p>
              </w:tc>
              <w:tc>
                <w:tcPr>
                  <w:tcW w:w="1134" w:type="dxa"/>
                  <w:tcBorders>
                    <w:top w:val="single" w:sz="12" w:space="0" w:color="auto"/>
                  </w:tcBorders>
                </w:tcPr>
                <w:p w:rsidR="00F41E82" w:rsidRDefault="00F41E82" w:rsidP="00F41E82">
                  <w:pPr>
                    <w:pStyle w:val="BodyTextIndent"/>
                    <w:ind w:firstLine="0"/>
                    <w:jc w:val="center"/>
                    <w:rPr>
                      <w:kern w:val="16"/>
                    </w:rPr>
                  </w:pPr>
                  <w:r>
                    <w:rPr>
                      <w:kern w:val="16"/>
                    </w:rPr>
                    <w:t>BE-RF</w:t>
                  </w:r>
                </w:p>
              </w:tc>
              <w:tc>
                <w:tcPr>
                  <w:tcW w:w="1418" w:type="dxa"/>
                  <w:tcBorders>
                    <w:top w:val="single" w:sz="12" w:space="0" w:color="auto"/>
                  </w:tcBorders>
                </w:tcPr>
                <w:p w:rsidR="00F41E82" w:rsidRDefault="00F41E82" w:rsidP="00F41E82">
                  <w:pPr>
                    <w:pStyle w:val="BodyTextIndent"/>
                    <w:ind w:firstLine="0"/>
                    <w:jc w:val="center"/>
                    <w:rPr>
                      <w:kern w:val="16"/>
                    </w:rPr>
                  </w:pPr>
                  <w:r>
                    <w:rPr>
                      <w:kern w:val="16"/>
                    </w:rPr>
                    <w:t>LS2</w:t>
                  </w:r>
                </w:p>
              </w:tc>
              <w:tc>
                <w:tcPr>
                  <w:tcW w:w="1418" w:type="dxa"/>
                  <w:tcBorders>
                    <w:top w:val="single" w:sz="12" w:space="0" w:color="auto"/>
                  </w:tcBorders>
                </w:tcPr>
                <w:p w:rsidR="00F41E82" w:rsidRDefault="00F41E82" w:rsidP="00F41E82">
                  <w:pPr>
                    <w:pStyle w:val="BodyTextIndent"/>
                    <w:ind w:firstLine="0"/>
                    <w:jc w:val="center"/>
                    <w:rPr>
                      <w:kern w:val="16"/>
                    </w:rPr>
                  </w:pPr>
                  <w:r>
                    <w:rPr>
                      <w:kern w:val="16"/>
                    </w:rPr>
                    <w:t>60 kCHF</w:t>
                  </w:r>
                </w:p>
                <w:p w:rsidR="00F41E82" w:rsidRDefault="00F41E82" w:rsidP="00F41E82">
                  <w:pPr>
                    <w:pStyle w:val="BodyTextIndent"/>
                    <w:ind w:firstLine="0"/>
                    <w:jc w:val="center"/>
                    <w:rPr>
                      <w:kern w:val="16"/>
                    </w:rPr>
                  </w:pPr>
                  <w:r>
                    <w:rPr>
                      <w:kern w:val="16"/>
                    </w:rPr>
                    <w:t>No</w:t>
                  </w:r>
                </w:p>
              </w:tc>
            </w:tr>
            <w:tr w:rsidR="00F41E82" w:rsidTr="0078718A">
              <w:tc>
                <w:tcPr>
                  <w:tcW w:w="4820" w:type="dxa"/>
                  <w:tcBorders>
                    <w:bottom w:val="single" w:sz="4" w:space="0" w:color="auto"/>
                  </w:tcBorders>
                </w:tcPr>
                <w:p w:rsidR="00F41E82" w:rsidRPr="00F41E82" w:rsidRDefault="00F41E82" w:rsidP="00F41E82">
                  <w:pPr>
                    <w:pStyle w:val="BodyTextIndent"/>
                    <w:ind w:firstLine="0"/>
                    <w:rPr>
                      <w:kern w:val="16"/>
                    </w:rPr>
                  </w:pPr>
                  <w:r w:rsidRPr="00F41E82">
                    <w:rPr>
                      <w:kern w:val="16"/>
                    </w:rPr>
                    <w:t>Ion Pumps damaged after Ar run</w:t>
                  </w:r>
                </w:p>
                <w:p w:rsidR="00F41E82" w:rsidRDefault="0028081B" w:rsidP="00F41E82">
                  <w:pPr>
                    <w:pStyle w:val="BodyTextIndent"/>
                    <w:ind w:firstLine="0"/>
                    <w:rPr>
                      <w:kern w:val="16"/>
                    </w:rPr>
                  </w:pPr>
                  <w:r>
                    <w:rPr>
                      <w:kern w:val="16"/>
                    </w:rPr>
                    <w:t>Poor vacuum degrades Pb beam performance.</w:t>
                  </w:r>
                </w:p>
              </w:tc>
              <w:tc>
                <w:tcPr>
                  <w:tcW w:w="851" w:type="dxa"/>
                  <w:tcBorders>
                    <w:bottom w:val="single" w:sz="4" w:space="0" w:color="auto"/>
                  </w:tcBorders>
                </w:tcPr>
                <w:p w:rsidR="00F41E82" w:rsidRDefault="00F41E82" w:rsidP="00F41E82">
                  <w:pPr>
                    <w:pStyle w:val="BodyTextIndent"/>
                    <w:ind w:firstLine="0"/>
                    <w:jc w:val="center"/>
                    <w:rPr>
                      <w:kern w:val="16"/>
                    </w:rPr>
                  </w:pPr>
                  <w:r>
                    <w:rPr>
                      <w:kern w:val="16"/>
                    </w:rPr>
                    <w:t>1</w:t>
                  </w:r>
                </w:p>
              </w:tc>
              <w:tc>
                <w:tcPr>
                  <w:tcW w:w="1134" w:type="dxa"/>
                  <w:tcBorders>
                    <w:bottom w:val="single" w:sz="4" w:space="0" w:color="auto"/>
                  </w:tcBorders>
                </w:tcPr>
                <w:p w:rsidR="00F41E82" w:rsidRDefault="00F41E82" w:rsidP="00F41E82">
                  <w:pPr>
                    <w:pStyle w:val="BodyTextIndent"/>
                    <w:ind w:firstLine="0"/>
                    <w:jc w:val="center"/>
                    <w:rPr>
                      <w:kern w:val="16"/>
                    </w:rPr>
                  </w:pPr>
                  <w:r>
                    <w:rPr>
                      <w:kern w:val="16"/>
                    </w:rPr>
                    <w:t>TE-VSC</w:t>
                  </w:r>
                </w:p>
              </w:tc>
              <w:tc>
                <w:tcPr>
                  <w:tcW w:w="1418" w:type="dxa"/>
                  <w:tcBorders>
                    <w:bottom w:val="single" w:sz="4" w:space="0" w:color="auto"/>
                  </w:tcBorders>
                </w:tcPr>
                <w:p w:rsidR="00F41E82" w:rsidRDefault="00F41E82" w:rsidP="00F41E82">
                  <w:pPr>
                    <w:pStyle w:val="BodyTextIndent"/>
                    <w:ind w:firstLine="0"/>
                    <w:jc w:val="center"/>
                    <w:rPr>
                      <w:kern w:val="16"/>
                    </w:rPr>
                  </w:pPr>
                  <w:r>
                    <w:rPr>
                      <w:kern w:val="16"/>
                    </w:rPr>
                    <w:t>2015</w:t>
                  </w:r>
                </w:p>
              </w:tc>
              <w:tc>
                <w:tcPr>
                  <w:tcW w:w="1418" w:type="dxa"/>
                  <w:tcBorders>
                    <w:bottom w:val="single" w:sz="4" w:space="0" w:color="auto"/>
                  </w:tcBorders>
                </w:tcPr>
                <w:p w:rsidR="00F41E82" w:rsidRDefault="00F41E82" w:rsidP="00F41E82">
                  <w:pPr>
                    <w:pStyle w:val="BodyTextIndent"/>
                    <w:ind w:firstLine="0"/>
                    <w:jc w:val="center"/>
                    <w:rPr>
                      <w:kern w:val="16"/>
                    </w:rPr>
                  </w:pPr>
                  <w:r>
                    <w:rPr>
                      <w:kern w:val="16"/>
                    </w:rPr>
                    <w:t>30 kCHF</w:t>
                  </w:r>
                </w:p>
                <w:p w:rsidR="00F41E82" w:rsidRDefault="00F41E82" w:rsidP="00F41E82">
                  <w:pPr>
                    <w:pStyle w:val="BodyTextIndent"/>
                    <w:ind w:firstLine="0"/>
                    <w:jc w:val="center"/>
                    <w:rPr>
                      <w:kern w:val="16"/>
                    </w:rPr>
                  </w:pPr>
                  <w:r>
                    <w:rPr>
                      <w:kern w:val="16"/>
                    </w:rPr>
                    <w:t>No</w:t>
                  </w:r>
                </w:p>
              </w:tc>
            </w:tr>
            <w:tr w:rsidR="00F41E82" w:rsidTr="0078718A">
              <w:tc>
                <w:tcPr>
                  <w:tcW w:w="4820" w:type="dxa"/>
                </w:tcPr>
                <w:p w:rsidR="00F41E82" w:rsidRPr="00F41E82" w:rsidRDefault="00F41E82" w:rsidP="00F41E82">
                  <w:pPr>
                    <w:pStyle w:val="BodyTextIndent"/>
                    <w:ind w:firstLine="0"/>
                    <w:rPr>
                      <w:kern w:val="16"/>
                    </w:rPr>
                  </w:pPr>
                  <w:r w:rsidRPr="00F41E82">
                    <w:rPr>
                      <w:kern w:val="16"/>
                    </w:rPr>
                    <w:t>The Frank James amplifiers.</w:t>
                  </w:r>
                </w:p>
                <w:p w:rsidR="00F41E82" w:rsidRDefault="00F41E82" w:rsidP="00F41E82">
                  <w:pPr>
                    <w:pStyle w:val="BodyTextIndent"/>
                    <w:ind w:firstLine="0"/>
                    <w:rPr>
                      <w:kern w:val="16"/>
                    </w:rPr>
                  </w:pPr>
                  <w:r w:rsidRPr="00F41E82">
                    <w:rPr>
                      <w:rFonts w:ascii="Times" w:hAnsi="Times"/>
                      <w:kern w:val="16"/>
                      <w:szCs w:val="24"/>
                    </w:rPr>
                    <w:t>Replacement of small parts.</w:t>
                  </w:r>
                </w:p>
              </w:tc>
              <w:tc>
                <w:tcPr>
                  <w:tcW w:w="851" w:type="dxa"/>
                </w:tcPr>
                <w:p w:rsidR="00F41E82" w:rsidRDefault="00F41E82" w:rsidP="00F41E82">
                  <w:pPr>
                    <w:pStyle w:val="BodyTextIndent"/>
                    <w:ind w:firstLine="0"/>
                    <w:jc w:val="center"/>
                    <w:rPr>
                      <w:kern w:val="16"/>
                    </w:rPr>
                  </w:pPr>
                  <w:r>
                    <w:rPr>
                      <w:kern w:val="16"/>
                    </w:rPr>
                    <w:t>1</w:t>
                  </w:r>
                </w:p>
              </w:tc>
              <w:tc>
                <w:tcPr>
                  <w:tcW w:w="1134" w:type="dxa"/>
                </w:tcPr>
                <w:p w:rsidR="00F41E82" w:rsidRDefault="00F41E82" w:rsidP="00F41E82">
                  <w:pPr>
                    <w:pStyle w:val="BodyTextIndent"/>
                    <w:ind w:firstLine="0"/>
                    <w:jc w:val="center"/>
                    <w:rPr>
                      <w:kern w:val="16"/>
                    </w:rPr>
                  </w:pPr>
                  <w:r>
                    <w:rPr>
                      <w:kern w:val="16"/>
                    </w:rPr>
                    <w:t>BE-RF</w:t>
                  </w:r>
                </w:p>
              </w:tc>
              <w:tc>
                <w:tcPr>
                  <w:tcW w:w="1418" w:type="dxa"/>
                </w:tcPr>
                <w:p w:rsidR="00F41E82" w:rsidRDefault="00F41E82" w:rsidP="00F41E82">
                  <w:pPr>
                    <w:pStyle w:val="BodyTextIndent"/>
                    <w:ind w:firstLine="0"/>
                    <w:jc w:val="center"/>
                    <w:rPr>
                      <w:kern w:val="16"/>
                    </w:rPr>
                  </w:pPr>
                  <w:r>
                    <w:rPr>
                      <w:kern w:val="16"/>
                    </w:rPr>
                    <w:t>2016</w:t>
                  </w:r>
                </w:p>
              </w:tc>
              <w:tc>
                <w:tcPr>
                  <w:tcW w:w="1418" w:type="dxa"/>
                </w:tcPr>
                <w:p w:rsidR="00F41E82" w:rsidRDefault="00F41E82" w:rsidP="00F41E82">
                  <w:pPr>
                    <w:pStyle w:val="BodyTextIndent"/>
                    <w:ind w:firstLine="0"/>
                    <w:jc w:val="center"/>
                    <w:rPr>
                      <w:kern w:val="16"/>
                    </w:rPr>
                  </w:pPr>
                  <w:r>
                    <w:rPr>
                      <w:kern w:val="16"/>
                    </w:rPr>
                    <w:t>25 kCHF</w:t>
                  </w:r>
                </w:p>
                <w:p w:rsidR="00F41E82" w:rsidRDefault="00F41E82" w:rsidP="00F41E82">
                  <w:pPr>
                    <w:pStyle w:val="BodyTextIndent"/>
                    <w:ind w:firstLine="0"/>
                    <w:jc w:val="center"/>
                    <w:rPr>
                      <w:kern w:val="16"/>
                    </w:rPr>
                  </w:pPr>
                  <w:r>
                    <w:rPr>
                      <w:kern w:val="16"/>
                    </w:rPr>
                    <w:t>No</w:t>
                  </w:r>
                </w:p>
              </w:tc>
            </w:tr>
            <w:tr w:rsidR="00F41E82" w:rsidTr="0078718A">
              <w:tc>
                <w:tcPr>
                  <w:tcW w:w="4820" w:type="dxa"/>
                </w:tcPr>
                <w:p w:rsidR="00F41E82" w:rsidRPr="00F41E82" w:rsidRDefault="00F41E82" w:rsidP="00F41E82">
                  <w:pPr>
                    <w:pStyle w:val="BodyTextIndent"/>
                    <w:ind w:firstLine="0"/>
                    <w:rPr>
                      <w:kern w:val="16"/>
                    </w:rPr>
                  </w:pPr>
                  <w:r w:rsidRPr="00F41E82">
                    <w:rPr>
                      <w:kern w:val="16"/>
                    </w:rPr>
                    <w:t>Critical cavity spares (tuners, couplers) for RFQ, IH, bunchers etc.</w:t>
                  </w:r>
                </w:p>
                <w:p w:rsidR="00F41E82" w:rsidRPr="006E17A4" w:rsidRDefault="00F41E82" w:rsidP="00F41E82">
                  <w:pPr>
                    <w:pStyle w:val="BodyTextIndent"/>
                    <w:ind w:firstLine="0"/>
                    <w:rPr>
                      <w:kern w:val="16"/>
                    </w:rPr>
                  </w:pPr>
                  <w:r w:rsidRPr="00F41E82">
                    <w:rPr>
                      <w:rFonts w:ascii="Times" w:hAnsi="Times"/>
                      <w:kern w:val="16"/>
                      <w:szCs w:val="24"/>
                    </w:rPr>
                    <w:t>Includes potentiall</w:t>
                  </w:r>
                  <w:r w:rsidR="008F21DF">
                    <w:rPr>
                      <w:rFonts w:ascii="Times" w:hAnsi="Times"/>
                      <w:kern w:val="16"/>
                      <w:szCs w:val="24"/>
                    </w:rPr>
                    <w:t>y critical items without spares.</w:t>
                  </w:r>
                </w:p>
              </w:tc>
              <w:tc>
                <w:tcPr>
                  <w:tcW w:w="851" w:type="dxa"/>
                </w:tcPr>
                <w:p w:rsidR="00F41E82" w:rsidRDefault="00F41E82" w:rsidP="00F41E82">
                  <w:pPr>
                    <w:pStyle w:val="BodyTextIndent"/>
                    <w:ind w:firstLine="0"/>
                    <w:jc w:val="center"/>
                    <w:rPr>
                      <w:kern w:val="16"/>
                    </w:rPr>
                  </w:pPr>
                  <w:r>
                    <w:rPr>
                      <w:kern w:val="16"/>
                    </w:rPr>
                    <w:t>1</w:t>
                  </w:r>
                </w:p>
              </w:tc>
              <w:tc>
                <w:tcPr>
                  <w:tcW w:w="1134" w:type="dxa"/>
                </w:tcPr>
                <w:p w:rsidR="00F41E82" w:rsidRDefault="00F41E82" w:rsidP="00F41E82">
                  <w:pPr>
                    <w:pStyle w:val="BodyTextIndent"/>
                    <w:ind w:firstLine="0"/>
                    <w:jc w:val="center"/>
                    <w:rPr>
                      <w:kern w:val="16"/>
                    </w:rPr>
                  </w:pPr>
                  <w:r>
                    <w:rPr>
                      <w:kern w:val="16"/>
                    </w:rPr>
                    <w:t>BE-RF</w:t>
                  </w:r>
                </w:p>
              </w:tc>
              <w:tc>
                <w:tcPr>
                  <w:tcW w:w="1418" w:type="dxa"/>
                </w:tcPr>
                <w:p w:rsidR="00F41E82" w:rsidRDefault="00F41E82" w:rsidP="00F41E82">
                  <w:pPr>
                    <w:pStyle w:val="BodyTextIndent"/>
                    <w:ind w:firstLine="0"/>
                    <w:jc w:val="center"/>
                    <w:rPr>
                      <w:kern w:val="16"/>
                    </w:rPr>
                  </w:pPr>
                  <w:r>
                    <w:rPr>
                      <w:kern w:val="16"/>
                    </w:rPr>
                    <w:t>?</w:t>
                  </w:r>
                </w:p>
              </w:tc>
              <w:tc>
                <w:tcPr>
                  <w:tcW w:w="1418" w:type="dxa"/>
                </w:tcPr>
                <w:p w:rsidR="00F41E82" w:rsidRDefault="00F41E82" w:rsidP="00F41E82">
                  <w:pPr>
                    <w:pStyle w:val="BodyTextIndent"/>
                    <w:ind w:firstLine="0"/>
                    <w:jc w:val="center"/>
                    <w:rPr>
                      <w:kern w:val="16"/>
                    </w:rPr>
                  </w:pPr>
                  <w:r>
                    <w:rPr>
                      <w:kern w:val="16"/>
                    </w:rPr>
                    <w:t>?</w:t>
                  </w:r>
                </w:p>
              </w:tc>
            </w:tr>
          </w:tbl>
          <w:p w:rsidR="00381753" w:rsidRPr="00D813F5" w:rsidRDefault="00381753" w:rsidP="00381753">
            <w:pPr>
              <w:pStyle w:val="BodyTextIndent"/>
            </w:pPr>
          </w:p>
          <w:p w:rsidR="00381753" w:rsidRPr="00D813F5" w:rsidRDefault="00381753" w:rsidP="00381753">
            <w:pPr>
              <w:pStyle w:val="BodyTextIndent"/>
            </w:pPr>
          </w:p>
        </w:tc>
      </w:tr>
    </w:tbl>
    <w:p w:rsidR="00165665" w:rsidRPr="00D813F5" w:rsidRDefault="00165665" w:rsidP="00165665">
      <w:pPr>
        <w:pStyle w:val="BodyTextIndent"/>
        <w:rPr>
          <w:kern w:val="16"/>
        </w:rPr>
      </w:pPr>
    </w:p>
    <w:p w:rsidR="00165665" w:rsidRPr="00D813F5" w:rsidRDefault="00165665" w:rsidP="00165665">
      <w:pPr>
        <w:pStyle w:val="BodyTextIndent"/>
        <w:rPr>
          <w:kern w:val="16"/>
        </w:rPr>
        <w:sectPr w:rsidR="00165665" w:rsidRPr="00D813F5" w:rsidSect="007F325F">
          <w:footnotePr>
            <w:pos w:val="beneathText"/>
            <w:numFmt w:val="chicago"/>
          </w:footnotePr>
          <w:endnotePr>
            <w:numFmt w:val="decimal"/>
          </w:endnotePr>
          <w:type w:val="continuous"/>
          <w:pgSz w:w="11909" w:h="16834" w:code="9"/>
          <w:pgMar w:top="2102" w:right="1138" w:bottom="1080" w:left="1134" w:header="2102" w:footer="1080" w:gutter="0"/>
          <w:cols w:space="288"/>
          <w:docGrid w:linePitch="360"/>
        </w:sectPr>
      </w:pPr>
    </w:p>
    <w:p w:rsidR="00BC6316" w:rsidRPr="00BC6316" w:rsidRDefault="00FD7A0F" w:rsidP="00D800B1">
      <w:pPr>
        <w:pStyle w:val="BodyTextIndent"/>
      </w:pPr>
      <w:r>
        <w:lastRenderedPageBreak/>
        <w:t>.</w:t>
      </w:r>
    </w:p>
    <w:p w:rsidR="00B75D5E" w:rsidRPr="00351D48" w:rsidRDefault="00B75D5E" w:rsidP="00EE4291">
      <w:pPr>
        <w:pStyle w:val="Reference"/>
        <w:rPr>
          <w:sz w:val="18"/>
          <w:szCs w:val="18"/>
        </w:rPr>
      </w:pPr>
    </w:p>
    <w:sectPr w:rsidR="00B75D5E" w:rsidRPr="00351D48" w:rsidSect="007F325F">
      <w:footnotePr>
        <w:pos w:val="beneathText"/>
        <w:numFmt w:val="chicago"/>
      </w:footnotePr>
      <w:endnotePr>
        <w:numFmt w:val="decimal"/>
      </w:endnotePr>
      <w:type w:val="continuous"/>
      <w:pgSz w:w="11909" w:h="16834" w:code="9"/>
      <w:pgMar w:top="2102" w:right="1138"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9C" w:rsidRDefault="004C419C"/>
  </w:endnote>
  <w:endnote w:type="continuationSeparator" w:id="0">
    <w:p w:rsidR="004C419C" w:rsidRDefault="004C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9C" w:rsidRDefault="004C419C">
      <w:r>
        <w:separator/>
      </w:r>
    </w:p>
  </w:footnote>
  <w:footnote w:type="continuationSeparator" w:id="0">
    <w:p w:rsidR="004C419C" w:rsidRDefault="004C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9C"/>
    <w:rsid w:val="00013ABB"/>
    <w:rsid w:val="00052CB4"/>
    <w:rsid w:val="00052E0B"/>
    <w:rsid w:val="00074A20"/>
    <w:rsid w:val="000A2A9A"/>
    <w:rsid w:val="000C1815"/>
    <w:rsid w:val="000D0EE2"/>
    <w:rsid w:val="000E1BEA"/>
    <w:rsid w:val="000E28FD"/>
    <w:rsid w:val="000E57D6"/>
    <w:rsid w:val="000F3F19"/>
    <w:rsid w:val="0014145F"/>
    <w:rsid w:val="00143535"/>
    <w:rsid w:val="0015344C"/>
    <w:rsid w:val="00165665"/>
    <w:rsid w:val="001D6284"/>
    <w:rsid w:val="001E3E3B"/>
    <w:rsid w:val="001E78D7"/>
    <w:rsid w:val="00243C3F"/>
    <w:rsid w:val="00256197"/>
    <w:rsid w:val="0028081B"/>
    <w:rsid w:val="002C6318"/>
    <w:rsid w:val="002D2A47"/>
    <w:rsid w:val="002D414E"/>
    <w:rsid w:val="003003BA"/>
    <w:rsid w:val="003020B1"/>
    <w:rsid w:val="003412C6"/>
    <w:rsid w:val="003451A8"/>
    <w:rsid w:val="00351D48"/>
    <w:rsid w:val="00370789"/>
    <w:rsid w:val="0037743E"/>
    <w:rsid w:val="00381753"/>
    <w:rsid w:val="003945E8"/>
    <w:rsid w:val="00394F4B"/>
    <w:rsid w:val="003A007C"/>
    <w:rsid w:val="003A575A"/>
    <w:rsid w:val="003B30B0"/>
    <w:rsid w:val="003C2B35"/>
    <w:rsid w:val="003C52DD"/>
    <w:rsid w:val="003E4017"/>
    <w:rsid w:val="003E76D5"/>
    <w:rsid w:val="00404AD2"/>
    <w:rsid w:val="0049346D"/>
    <w:rsid w:val="004A1546"/>
    <w:rsid w:val="004C419C"/>
    <w:rsid w:val="004D6D77"/>
    <w:rsid w:val="004F2A1D"/>
    <w:rsid w:val="00500A60"/>
    <w:rsid w:val="00506C77"/>
    <w:rsid w:val="00535E10"/>
    <w:rsid w:val="005779BE"/>
    <w:rsid w:val="005909C8"/>
    <w:rsid w:val="005B715B"/>
    <w:rsid w:val="005C11FB"/>
    <w:rsid w:val="005C76FE"/>
    <w:rsid w:val="005E24F7"/>
    <w:rsid w:val="005F6709"/>
    <w:rsid w:val="0064089E"/>
    <w:rsid w:val="006560C3"/>
    <w:rsid w:val="00662C6C"/>
    <w:rsid w:val="006773E4"/>
    <w:rsid w:val="006811B5"/>
    <w:rsid w:val="006845B5"/>
    <w:rsid w:val="006C58CD"/>
    <w:rsid w:val="006E17A4"/>
    <w:rsid w:val="006F69A8"/>
    <w:rsid w:val="00705910"/>
    <w:rsid w:val="00753707"/>
    <w:rsid w:val="00761218"/>
    <w:rsid w:val="007B1A5A"/>
    <w:rsid w:val="007B6141"/>
    <w:rsid w:val="007D1D1F"/>
    <w:rsid w:val="007F0E02"/>
    <w:rsid w:val="007F29FF"/>
    <w:rsid w:val="007F325F"/>
    <w:rsid w:val="007F79A3"/>
    <w:rsid w:val="00801CB2"/>
    <w:rsid w:val="00844B1C"/>
    <w:rsid w:val="00875D2B"/>
    <w:rsid w:val="008A01FD"/>
    <w:rsid w:val="008B10C8"/>
    <w:rsid w:val="008F21DF"/>
    <w:rsid w:val="008F5E79"/>
    <w:rsid w:val="00963151"/>
    <w:rsid w:val="00973EE7"/>
    <w:rsid w:val="00974E99"/>
    <w:rsid w:val="00995B57"/>
    <w:rsid w:val="00995FE2"/>
    <w:rsid w:val="009A1B1C"/>
    <w:rsid w:val="009B15A2"/>
    <w:rsid w:val="009B7DBD"/>
    <w:rsid w:val="009C5D88"/>
    <w:rsid w:val="009D1438"/>
    <w:rsid w:val="009E24BD"/>
    <w:rsid w:val="00A045D8"/>
    <w:rsid w:val="00A06B28"/>
    <w:rsid w:val="00A35069"/>
    <w:rsid w:val="00A45AC9"/>
    <w:rsid w:val="00A53915"/>
    <w:rsid w:val="00A748B1"/>
    <w:rsid w:val="00AB1310"/>
    <w:rsid w:val="00AB2D00"/>
    <w:rsid w:val="00AC1A8C"/>
    <w:rsid w:val="00AD3CD2"/>
    <w:rsid w:val="00AD583B"/>
    <w:rsid w:val="00B21398"/>
    <w:rsid w:val="00B216A3"/>
    <w:rsid w:val="00B229FB"/>
    <w:rsid w:val="00B75D5E"/>
    <w:rsid w:val="00B90A70"/>
    <w:rsid w:val="00B94C4E"/>
    <w:rsid w:val="00BA5A59"/>
    <w:rsid w:val="00BC515F"/>
    <w:rsid w:val="00BC6316"/>
    <w:rsid w:val="00BC6C9C"/>
    <w:rsid w:val="00C12DA9"/>
    <w:rsid w:val="00C53798"/>
    <w:rsid w:val="00C64DBD"/>
    <w:rsid w:val="00CA421B"/>
    <w:rsid w:val="00D232A8"/>
    <w:rsid w:val="00D550FB"/>
    <w:rsid w:val="00D62671"/>
    <w:rsid w:val="00D800B1"/>
    <w:rsid w:val="00D813F5"/>
    <w:rsid w:val="00D91B03"/>
    <w:rsid w:val="00DE79DC"/>
    <w:rsid w:val="00E36633"/>
    <w:rsid w:val="00E45861"/>
    <w:rsid w:val="00E47E1F"/>
    <w:rsid w:val="00EB1E89"/>
    <w:rsid w:val="00EC74E3"/>
    <w:rsid w:val="00EE4291"/>
    <w:rsid w:val="00F1564F"/>
    <w:rsid w:val="00F2614A"/>
    <w:rsid w:val="00F32CF9"/>
    <w:rsid w:val="00F41E82"/>
    <w:rsid w:val="00F4797F"/>
    <w:rsid w:val="00F634A2"/>
    <w:rsid w:val="00F87DCC"/>
    <w:rsid w:val="00FA4B60"/>
    <w:rsid w:val="00FD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link w:val="BodyTextIndentChar"/>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character" w:customStyle="1" w:styleId="FootnoteTextChar">
    <w:name w:val="Footnote Text Char"/>
    <w:link w:val="FootnoteText"/>
    <w:rsid w:val="00AD3CD2"/>
    <w:rPr>
      <w:sz w:val="16"/>
      <w:lang w:val="en-GB"/>
    </w:rPr>
  </w:style>
  <w:style w:type="character" w:customStyle="1" w:styleId="BodyTextIndentChar">
    <w:name w:val="Body Text Indent Char"/>
    <w:link w:val="BodyTextIndent"/>
    <w:rsid w:val="00AD3CD2"/>
    <w:rPr>
      <w:lang w:val="en-GB"/>
    </w:rPr>
  </w:style>
  <w:style w:type="table" w:styleId="TableGrid">
    <w:name w:val="Table Grid"/>
    <w:basedOn w:val="TableNormal"/>
    <w:uiPriority w:val="59"/>
    <w:rsid w:val="00F6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link w:val="BodyTextIndentChar"/>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character" w:customStyle="1" w:styleId="FootnoteTextChar">
    <w:name w:val="Footnote Text Char"/>
    <w:link w:val="FootnoteText"/>
    <w:rsid w:val="00AD3CD2"/>
    <w:rPr>
      <w:sz w:val="16"/>
      <w:lang w:val="en-GB"/>
    </w:rPr>
  </w:style>
  <w:style w:type="character" w:customStyle="1" w:styleId="BodyTextIndentChar">
    <w:name w:val="Body Text Indent Char"/>
    <w:link w:val="BodyTextIndent"/>
    <w:rsid w:val="00AD3CD2"/>
    <w:rPr>
      <w:lang w:val="en-GB"/>
    </w:rPr>
  </w:style>
  <w:style w:type="table" w:styleId="TableGrid">
    <w:name w:val="Table Grid"/>
    <w:basedOn w:val="TableNormal"/>
    <w:uiPriority w:val="59"/>
    <w:rsid w:val="00F6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21100">
      <w:bodyDiv w:val="1"/>
      <w:marLeft w:val="0"/>
      <w:marRight w:val="0"/>
      <w:marTop w:val="0"/>
      <w:marBottom w:val="0"/>
      <w:divBdr>
        <w:top w:val="none" w:sz="0" w:space="0" w:color="auto"/>
        <w:left w:val="none" w:sz="0" w:space="0" w:color="auto"/>
        <w:bottom w:val="none" w:sz="0" w:space="0" w:color="auto"/>
        <w:right w:val="none" w:sz="0" w:space="0" w:color="auto"/>
      </w:divBdr>
      <w:divsChild>
        <w:div w:id="1348560786">
          <w:marLeft w:val="0"/>
          <w:marRight w:val="0"/>
          <w:marTop w:val="0"/>
          <w:marBottom w:val="0"/>
          <w:divBdr>
            <w:top w:val="none" w:sz="0" w:space="0" w:color="auto"/>
            <w:left w:val="none" w:sz="0" w:space="0" w:color="auto"/>
            <w:bottom w:val="none" w:sz="0" w:space="0" w:color="auto"/>
            <w:right w:val="none" w:sz="0" w:space="0" w:color="auto"/>
          </w:divBdr>
          <w:divsChild>
            <w:div w:id="621152145">
              <w:marLeft w:val="0"/>
              <w:marRight w:val="0"/>
              <w:marTop w:val="0"/>
              <w:marBottom w:val="0"/>
              <w:divBdr>
                <w:top w:val="none" w:sz="0" w:space="0" w:color="auto"/>
                <w:left w:val="none" w:sz="0" w:space="0" w:color="auto"/>
                <w:bottom w:val="none" w:sz="0" w:space="0" w:color="auto"/>
                <w:right w:val="none" w:sz="0" w:space="0" w:color="auto"/>
              </w:divBdr>
              <w:divsChild>
                <w:div w:id="1616595117">
                  <w:marLeft w:val="0"/>
                  <w:marRight w:val="0"/>
                  <w:marTop w:val="270"/>
                  <w:marBottom w:val="450"/>
                  <w:divBdr>
                    <w:top w:val="none" w:sz="0" w:space="0" w:color="auto"/>
                    <w:left w:val="none" w:sz="0" w:space="0" w:color="auto"/>
                    <w:bottom w:val="none" w:sz="0" w:space="0" w:color="auto"/>
                    <w:right w:val="none" w:sz="0" w:space="0" w:color="auto"/>
                  </w:divBdr>
                  <w:divsChild>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9D98-276C-4D97-B711-E208FD78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Scrivens</dc:creator>
  <cp:lastModifiedBy>Draper</cp:lastModifiedBy>
  <cp:revision>2</cp:revision>
  <cp:lastPrinted>2012-02-20T20:17:00Z</cp:lastPrinted>
  <dcterms:created xsi:type="dcterms:W3CDTF">2015-02-11T10:59:00Z</dcterms:created>
  <dcterms:modified xsi:type="dcterms:W3CDTF">2015-02-11T10:59:00Z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