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51" w:rsidRDefault="00C37823" w:rsidP="00C37823">
      <w:pPr>
        <w:jc w:val="center"/>
      </w:pPr>
      <w:r>
        <w:t>Meeting Notes and Action Items from Discussions Between DUNE, Cryostat, Cryogenics, FSCF, and SDSTA</w:t>
      </w:r>
    </w:p>
    <w:p w:rsidR="00C37823" w:rsidRDefault="00C37823" w:rsidP="00C37823">
      <w:pPr>
        <w:jc w:val="center"/>
      </w:pPr>
      <w:r>
        <w:t>October 29</w:t>
      </w:r>
      <w:r w:rsidR="00BB0A4A">
        <w:t xml:space="preserve"> &amp; 30</w:t>
      </w:r>
      <w:r>
        <w:t>, 2015   T. Lundin</w:t>
      </w:r>
    </w:p>
    <w:p w:rsidR="00C37823" w:rsidRPr="00BB0A4A" w:rsidRDefault="000F2A76" w:rsidP="00F639DC">
      <w:pPr>
        <w:jc w:val="center"/>
      </w:pPr>
      <w:r>
        <w:rPr>
          <w:color w:val="2E74B5" w:themeColor="accent1" w:themeShade="BF"/>
        </w:rPr>
        <w:t xml:space="preserve">SHORTLIST </w:t>
      </w:r>
      <w:r w:rsidR="00E73729">
        <w:rPr>
          <w:color w:val="2E74B5" w:themeColor="accent1" w:themeShade="BF"/>
        </w:rPr>
        <w:t xml:space="preserve">Last </w:t>
      </w:r>
      <w:r w:rsidR="009664AA">
        <w:rPr>
          <w:color w:val="2E74B5" w:themeColor="accent1" w:themeShade="BF"/>
        </w:rPr>
        <w:t>st</w:t>
      </w:r>
      <w:r w:rsidR="00EA15FB">
        <w:rPr>
          <w:color w:val="2E74B5" w:themeColor="accent1" w:themeShade="BF"/>
        </w:rPr>
        <w:t>atus update: April</w:t>
      </w:r>
      <w:r w:rsidR="00AC30FB">
        <w:rPr>
          <w:color w:val="2E74B5" w:themeColor="accent1" w:themeShade="BF"/>
        </w:rPr>
        <w:t xml:space="preserve"> </w:t>
      </w:r>
      <w:r w:rsidR="00EA15FB">
        <w:rPr>
          <w:color w:val="2E74B5" w:themeColor="accent1" w:themeShade="BF"/>
        </w:rPr>
        <w:t>4</w:t>
      </w:r>
      <w:r w:rsidR="00E73729">
        <w:rPr>
          <w:color w:val="2E74B5" w:themeColor="accent1" w:themeShade="BF"/>
        </w:rPr>
        <w:t>, 2016</w:t>
      </w:r>
      <w:r w:rsidR="00AC30FB">
        <w:rPr>
          <w:color w:val="2E74B5" w:themeColor="accent1" w:themeShade="BF"/>
        </w:rPr>
        <w:t>; Open Items shown in blue font</w:t>
      </w:r>
    </w:p>
    <w:p w:rsidR="00BB0A4A" w:rsidRDefault="00BB0A4A" w:rsidP="00BB0A4A">
      <w:pPr>
        <w:pStyle w:val="ListParagraph"/>
      </w:pPr>
    </w:p>
    <w:p w:rsidR="004158F5" w:rsidRPr="004158F5" w:rsidRDefault="004158F5" w:rsidP="00BB0A4A">
      <w:pPr>
        <w:pStyle w:val="ListParagraph"/>
        <w:rPr>
          <w:color w:val="2E74B5" w:themeColor="accent1" w:themeShade="BF"/>
        </w:rPr>
      </w:pPr>
    </w:p>
    <w:tbl>
      <w:tblPr>
        <w:tblStyle w:val="TableGrid"/>
        <w:tblW w:w="0" w:type="auto"/>
        <w:tblInd w:w="720" w:type="dxa"/>
        <w:tblLook w:val="04A0" w:firstRow="1" w:lastRow="0" w:firstColumn="1" w:lastColumn="0" w:noHBand="0" w:noVBand="1"/>
      </w:tblPr>
      <w:tblGrid>
        <w:gridCol w:w="4593"/>
        <w:gridCol w:w="1513"/>
        <w:gridCol w:w="1257"/>
        <w:gridCol w:w="1267"/>
      </w:tblGrid>
      <w:tr w:rsidR="002A0C22" w:rsidTr="000F2A76">
        <w:tc>
          <w:tcPr>
            <w:tcW w:w="4593" w:type="dxa"/>
            <w:tcBorders>
              <w:bottom w:val="double" w:sz="4" w:space="0" w:color="auto"/>
            </w:tcBorders>
          </w:tcPr>
          <w:p w:rsidR="002A0C22" w:rsidRPr="00AC30FB" w:rsidRDefault="002A0C22" w:rsidP="002A0C22">
            <w:pPr>
              <w:pStyle w:val="ListParagraph"/>
              <w:ind w:left="0"/>
            </w:pPr>
            <w:r w:rsidRPr="00AC30FB">
              <w:t>Issue</w:t>
            </w:r>
          </w:p>
        </w:tc>
        <w:tc>
          <w:tcPr>
            <w:tcW w:w="1513" w:type="dxa"/>
            <w:tcBorders>
              <w:bottom w:val="double" w:sz="4" w:space="0" w:color="auto"/>
            </w:tcBorders>
          </w:tcPr>
          <w:p w:rsidR="002A0C22" w:rsidRPr="00AC30FB" w:rsidRDefault="00EA15FB" w:rsidP="002A0C22">
            <w:pPr>
              <w:pStyle w:val="ListParagraph"/>
              <w:ind w:left="0"/>
              <w:jc w:val="center"/>
            </w:pPr>
            <w:r>
              <w:t>4/4</w:t>
            </w:r>
            <w:r w:rsidR="007966A5" w:rsidRPr="00AC30FB">
              <w:t xml:space="preserve">/16 </w:t>
            </w:r>
            <w:r w:rsidR="002A0C22" w:rsidRPr="00AC30FB">
              <w:t>Status</w:t>
            </w:r>
          </w:p>
        </w:tc>
        <w:tc>
          <w:tcPr>
            <w:tcW w:w="1257" w:type="dxa"/>
            <w:tcBorders>
              <w:bottom w:val="double" w:sz="4" w:space="0" w:color="auto"/>
            </w:tcBorders>
          </w:tcPr>
          <w:p w:rsidR="002A0C22" w:rsidRPr="00AC30FB" w:rsidRDefault="002A0C22" w:rsidP="002A0C22">
            <w:pPr>
              <w:pStyle w:val="ListParagraph"/>
              <w:ind w:left="0"/>
              <w:jc w:val="center"/>
            </w:pPr>
            <w:r w:rsidRPr="00AC30FB">
              <w:t>Completion Date</w:t>
            </w:r>
          </w:p>
        </w:tc>
        <w:tc>
          <w:tcPr>
            <w:tcW w:w="1267" w:type="dxa"/>
            <w:tcBorders>
              <w:bottom w:val="double" w:sz="4" w:space="0" w:color="auto"/>
            </w:tcBorders>
          </w:tcPr>
          <w:p w:rsidR="002A0C22" w:rsidRPr="00AC30FB" w:rsidRDefault="002A0C22" w:rsidP="002A0C22">
            <w:pPr>
              <w:pStyle w:val="ListParagraph"/>
              <w:ind w:left="0"/>
              <w:jc w:val="center"/>
            </w:pPr>
            <w:r w:rsidRPr="00AC30FB">
              <w:t>Action By</w:t>
            </w:r>
          </w:p>
        </w:tc>
      </w:tr>
      <w:tr w:rsidR="0064068A" w:rsidTr="000F2A76">
        <w:tc>
          <w:tcPr>
            <w:tcW w:w="4593" w:type="dxa"/>
          </w:tcPr>
          <w:p w:rsidR="0064068A" w:rsidRDefault="0064068A" w:rsidP="0064068A">
            <w:pPr>
              <w:pStyle w:val="ListParagraph"/>
              <w:ind w:left="0"/>
              <w:rPr>
                <w:color w:val="2E74B5" w:themeColor="accent1" w:themeShade="BF"/>
              </w:rPr>
            </w:pPr>
            <w:r w:rsidRPr="0064068A">
              <w:rPr>
                <w:color w:val="2E74B5" w:themeColor="accent1" w:themeShade="BF"/>
              </w:rPr>
              <w:t>Develop process for, and achi</w:t>
            </w:r>
            <w:r>
              <w:rPr>
                <w:color w:val="2E74B5" w:themeColor="accent1" w:themeShade="BF"/>
              </w:rPr>
              <w:t>e</w:t>
            </w:r>
            <w:r w:rsidRPr="0064068A">
              <w:rPr>
                <w:color w:val="2E74B5" w:themeColor="accent1" w:themeShade="BF"/>
              </w:rPr>
              <w:t>ve approval of clearance envelope drawing</w:t>
            </w:r>
          </w:p>
          <w:p w:rsidR="00426334" w:rsidRPr="0064068A" w:rsidRDefault="00426334" w:rsidP="0064068A">
            <w:pPr>
              <w:pStyle w:val="ListParagraph"/>
              <w:ind w:left="0"/>
              <w:rPr>
                <w:color w:val="2E74B5" w:themeColor="accent1" w:themeShade="BF"/>
              </w:rPr>
            </w:pPr>
          </w:p>
        </w:tc>
        <w:tc>
          <w:tcPr>
            <w:tcW w:w="1513" w:type="dxa"/>
          </w:tcPr>
          <w:p w:rsidR="0064068A" w:rsidRPr="0064068A" w:rsidRDefault="0064068A" w:rsidP="00EE3141">
            <w:pPr>
              <w:pStyle w:val="ListParagraph"/>
              <w:ind w:left="0"/>
              <w:jc w:val="center"/>
              <w:rPr>
                <w:color w:val="2E74B5" w:themeColor="accent1" w:themeShade="BF"/>
              </w:rPr>
            </w:pPr>
            <w:r w:rsidRPr="0064068A">
              <w:rPr>
                <w:color w:val="2E74B5" w:themeColor="accent1" w:themeShade="BF"/>
              </w:rPr>
              <w:t>Open</w:t>
            </w:r>
          </w:p>
        </w:tc>
        <w:tc>
          <w:tcPr>
            <w:tcW w:w="1257" w:type="dxa"/>
          </w:tcPr>
          <w:p w:rsidR="0064068A" w:rsidRPr="0064068A" w:rsidRDefault="0064068A" w:rsidP="00EE3141">
            <w:pPr>
              <w:pStyle w:val="ListParagraph"/>
              <w:ind w:left="0"/>
              <w:jc w:val="center"/>
              <w:rPr>
                <w:color w:val="2E74B5" w:themeColor="accent1" w:themeShade="BF"/>
              </w:rPr>
            </w:pPr>
          </w:p>
        </w:tc>
        <w:tc>
          <w:tcPr>
            <w:tcW w:w="1267" w:type="dxa"/>
          </w:tcPr>
          <w:p w:rsidR="0064068A" w:rsidRPr="0064068A" w:rsidRDefault="0064068A" w:rsidP="00C91A31">
            <w:pPr>
              <w:pStyle w:val="ListParagraph"/>
              <w:ind w:left="0"/>
              <w:jc w:val="center"/>
              <w:rPr>
                <w:color w:val="2E74B5" w:themeColor="accent1" w:themeShade="BF"/>
              </w:rPr>
            </w:pPr>
            <w:r w:rsidRPr="0064068A">
              <w:rPr>
                <w:color w:val="2E74B5" w:themeColor="accent1" w:themeShade="BF"/>
              </w:rPr>
              <w:t>ND</w:t>
            </w:r>
          </w:p>
        </w:tc>
      </w:tr>
      <w:tr w:rsidR="00D109A4" w:rsidTr="000F2A76">
        <w:tc>
          <w:tcPr>
            <w:tcW w:w="4593" w:type="dxa"/>
          </w:tcPr>
          <w:p w:rsidR="00D109A4" w:rsidRDefault="00D109A4" w:rsidP="0064068A">
            <w:pPr>
              <w:pStyle w:val="ListParagraph"/>
              <w:ind w:left="0"/>
              <w:rPr>
                <w:color w:val="2E74B5" w:themeColor="accent1" w:themeShade="BF"/>
              </w:rPr>
            </w:pPr>
            <w:r>
              <w:rPr>
                <w:color w:val="2E74B5" w:themeColor="accent1" w:themeShade="BF"/>
              </w:rPr>
              <w:t>Develop requirements for motorized trolley(s)</w:t>
            </w:r>
          </w:p>
          <w:p w:rsidR="00426334" w:rsidRPr="0064068A" w:rsidRDefault="00426334" w:rsidP="0064068A">
            <w:pPr>
              <w:pStyle w:val="ListParagraph"/>
              <w:ind w:left="0"/>
              <w:rPr>
                <w:color w:val="2E74B5" w:themeColor="accent1" w:themeShade="BF"/>
              </w:rPr>
            </w:pPr>
          </w:p>
        </w:tc>
        <w:tc>
          <w:tcPr>
            <w:tcW w:w="1513" w:type="dxa"/>
          </w:tcPr>
          <w:p w:rsidR="00D109A4" w:rsidRPr="0064068A" w:rsidRDefault="00D109A4" w:rsidP="00EE3141">
            <w:pPr>
              <w:pStyle w:val="ListParagraph"/>
              <w:ind w:left="0"/>
              <w:jc w:val="center"/>
              <w:rPr>
                <w:color w:val="2E74B5" w:themeColor="accent1" w:themeShade="BF"/>
              </w:rPr>
            </w:pPr>
            <w:r>
              <w:rPr>
                <w:color w:val="2E74B5" w:themeColor="accent1" w:themeShade="BF"/>
              </w:rPr>
              <w:t>Open</w:t>
            </w:r>
          </w:p>
        </w:tc>
        <w:tc>
          <w:tcPr>
            <w:tcW w:w="1257" w:type="dxa"/>
          </w:tcPr>
          <w:p w:rsidR="00D109A4" w:rsidRPr="0064068A" w:rsidRDefault="00D109A4" w:rsidP="00EE3141">
            <w:pPr>
              <w:pStyle w:val="ListParagraph"/>
              <w:ind w:left="0"/>
              <w:jc w:val="center"/>
              <w:rPr>
                <w:color w:val="2E74B5" w:themeColor="accent1" w:themeShade="BF"/>
              </w:rPr>
            </w:pPr>
          </w:p>
        </w:tc>
        <w:tc>
          <w:tcPr>
            <w:tcW w:w="1267" w:type="dxa"/>
          </w:tcPr>
          <w:p w:rsidR="00D109A4" w:rsidRPr="0064068A" w:rsidRDefault="00D109A4" w:rsidP="00C91A31">
            <w:pPr>
              <w:pStyle w:val="ListParagraph"/>
              <w:ind w:left="0"/>
              <w:jc w:val="center"/>
              <w:rPr>
                <w:color w:val="2E74B5" w:themeColor="accent1" w:themeShade="BF"/>
              </w:rPr>
            </w:pPr>
            <w:r>
              <w:rPr>
                <w:color w:val="2E74B5" w:themeColor="accent1" w:themeShade="BF"/>
              </w:rPr>
              <w:t>ND</w:t>
            </w:r>
          </w:p>
        </w:tc>
      </w:tr>
      <w:tr w:rsidR="000F2A76" w:rsidTr="000F2A76">
        <w:tc>
          <w:tcPr>
            <w:tcW w:w="4593" w:type="dxa"/>
          </w:tcPr>
          <w:p w:rsidR="000F2A76" w:rsidRDefault="000F2A76" w:rsidP="000F2A76">
            <w:pPr>
              <w:pStyle w:val="ListParagraph"/>
              <w:ind w:left="0"/>
              <w:rPr>
                <w:color w:val="2E74B5" w:themeColor="accent1" w:themeShade="BF"/>
              </w:rPr>
            </w:pPr>
            <w:r>
              <w:rPr>
                <w:color w:val="2E74B5" w:themeColor="accent1" w:themeShade="BF"/>
              </w:rPr>
              <w:t>Cryostat to design rigging fixtures for exoskeleton beams</w:t>
            </w:r>
          </w:p>
          <w:p w:rsidR="00426334" w:rsidRDefault="00426334" w:rsidP="000F2A76">
            <w:pPr>
              <w:pStyle w:val="ListParagraph"/>
              <w:ind w:left="0"/>
              <w:rPr>
                <w:color w:val="2E74B5" w:themeColor="accent1" w:themeShade="BF"/>
              </w:rPr>
            </w:pPr>
          </w:p>
        </w:tc>
        <w:tc>
          <w:tcPr>
            <w:tcW w:w="1513" w:type="dxa"/>
          </w:tcPr>
          <w:p w:rsidR="000F2A76" w:rsidRDefault="000F2A76" w:rsidP="000F2A76">
            <w:pPr>
              <w:pStyle w:val="ListParagraph"/>
              <w:ind w:left="0"/>
              <w:jc w:val="center"/>
              <w:rPr>
                <w:color w:val="2E74B5" w:themeColor="accent1" w:themeShade="BF"/>
              </w:rPr>
            </w:pPr>
            <w:r>
              <w:rPr>
                <w:color w:val="2E74B5" w:themeColor="accent1" w:themeShade="BF"/>
              </w:rPr>
              <w:t>Open</w:t>
            </w:r>
          </w:p>
        </w:tc>
        <w:tc>
          <w:tcPr>
            <w:tcW w:w="1257" w:type="dxa"/>
          </w:tcPr>
          <w:p w:rsidR="000F2A76" w:rsidRDefault="000F2A76" w:rsidP="000F2A76">
            <w:pPr>
              <w:pStyle w:val="ListParagraph"/>
              <w:ind w:left="0"/>
              <w:jc w:val="center"/>
              <w:rPr>
                <w:color w:val="2E74B5" w:themeColor="accent1" w:themeShade="BF"/>
              </w:rPr>
            </w:pPr>
          </w:p>
        </w:tc>
        <w:tc>
          <w:tcPr>
            <w:tcW w:w="1267" w:type="dxa"/>
          </w:tcPr>
          <w:p w:rsidR="000F2A76" w:rsidRDefault="000F2A76" w:rsidP="000F2A76">
            <w:pPr>
              <w:pStyle w:val="ListParagraph"/>
              <w:ind w:left="0"/>
              <w:jc w:val="center"/>
              <w:rPr>
                <w:color w:val="2E74B5" w:themeColor="accent1" w:themeShade="BF"/>
              </w:rPr>
            </w:pPr>
            <w:r>
              <w:rPr>
                <w:color w:val="2E74B5" w:themeColor="accent1" w:themeShade="BF"/>
              </w:rPr>
              <w:t>Dimitar</w:t>
            </w:r>
          </w:p>
        </w:tc>
      </w:tr>
      <w:tr w:rsidR="000F2A76" w:rsidTr="000F2A76">
        <w:tc>
          <w:tcPr>
            <w:tcW w:w="4593" w:type="dxa"/>
          </w:tcPr>
          <w:p w:rsidR="000F2A76" w:rsidRDefault="000F2A76" w:rsidP="000F2A76">
            <w:pPr>
              <w:pStyle w:val="ListParagraph"/>
              <w:ind w:left="0"/>
              <w:rPr>
                <w:color w:val="2E74B5" w:themeColor="accent1" w:themeShade="BF"/>
              </w:rPr>
            </w:pPr>
            <w:r>
              <w:rPr>
                <w:color w:val="2E74B5" w:themeColor="accent1" w:themeShade="BF"/>
              </w:rPr>
              <w:t>Define interface points and guide mechanisms for conveying loads down the Ross shaft thru the cage and skip compartments</w:t>
            </w:r>
          </w:p>
          <w:p w:rsidR="00426334" w:rsidRDefault="00426334" w:rsidP="000F2A76">
            <w:pPr>
              <w:pStyle w:val="ListParagraph"/>
              <w:ind w:left="0"/>
              <w:rPr>
                <w:color w:val="2E74B5" w:themeColor="accent1" w:themeShade="BF"/>
              </w:rPr>
            </w:pPr>
          </w:p>
        </w:tc>
        <w:tc>
          <w:tcPr>
            <w:tcW w:w="1513" w:type="dxa"/>
          </w:tcPr>
          <w:p w:rsidR="000F2A76" w:rsidRDefault="000F2A76" w:rsidP="000F2A76">
            <w:pPr>
              <w:pStyle w:val="ListParagraph"/>
              <w:ind w:left="0"/>
              <w:jc w:val="center"/>
              <w:rPr>
                <w:color w:val="2E74B5" w:themeColor="accent1" w:themeShade="BF"/>
              </w:rPr>
            </w:pPr>
            <w:r>
              <w:rPr>
                <w:color w:val="2E74B5" w:themeColor="accent1" w:themeShade="BF"/>
              </w:rPr>
              <w:t>Open</w:t>
            </w:r>
          </w:p>
        </w:tc>
        <w:tc>
          <w:tcPr>
            <w:tcW w:w="1257" w:type="dxa"/>
          </w:tcPr>
          <w:p w:rsidR="000F2A76" w:rsidRDefault="000F2A76" w:rsidP="000F2A76">
            <w:pPr>
              <w:pStyle w:val="ListParagraph"/>
              <w:ind w:left="0"/>
              <w:jc w:val="center"/>
              <w:rPr>
                <w:color w:val="2E74B5" w:themeColor="accent1" w:themeShade="BF"/>
              </w:rPr>
            </w:pPr>
          </w:p>
        </w:tc>
        <w:tc>
          <w:tcPr>
            <w:tcW w:w="1267" w:type="dxa"/>
          </w:tcPr>
          <w:p w:rsidR="000F2A76" w:rsidRDefault="000F2A76" w:rsidP="000F2A76">
            <w:pPr>
              <w:pStyle w:val="ListParagraph"/>
              <w:ind w:left="0"/>
              <w:jc w:val="center"/>
              <w:rPr>
                <w:color w:val="2E74B5" w:themeColor="accent1" w:themeShade="BF"/>
              </w:rPr>
            </w:pPr>
            <w:r>
              <w:rPr>
                <w:color w:val="2E74B5" w:themeColor="accent1" w:themeShade="BF"/>
              </w:rPr>
              <w:t>MJ</w:t>
            </w:r>
          </w:p>
        </w:tc>
      </w:tr>
      <w:tr w:rsidR="000F2A76" w:rsidTr="000F2A76">
        <w:tc>
          <w:tcPr>
            <w:tcW w:w="4593" w:type="dxa"/>
          </w:tcPr>
          <w:p w:rsidR="000F2A76" w:rsidRDefault="000F2A76" w:rsidP="000F2A76">
            <w:pPr>
              <w:pStyle w:val="ListParagraph"/>
              <w:ind w:left="0"/>
              <w:rPr>
                <w:color w:val="2E74B5" w:themeColor="accent1" w:themeShade="BF"/>
              </w:rPr>
            </w:pPr>
            <w:r>
              <w:rPr>
                <w:color w:val="2E74B5" w:themeColor="accent1" w:themeShade="BF"/>
              </w:rPr>
              <w:t>Schedule a shaft/cage workshop in Lead for July/August near the time of the ICHEP meeting</w:t>
            </w:r>
          </w:p>
          <w:p w:rsidR="00426334" w:rsidRDefault="00426334" w:rsidP="000F2A76">
            <w:pPr>
              <w:pStyle w:val="ListParagraph"/>
              <w:ind w:left="0"/>
              <w:rPr>
                <w:color w:val="2E74B5" w:themeColor="accent1" w:themeShade="BF"/>
              </w:rPr>
            </w:pPr>
          </w:p>
        </w:tc>
        <w:tc>
          <w:tcPr>
            <w:tcW w:w="1513" w:type="dxa"/>
          </w:tcPr>
          <w:p w:rsidR="000F2A76" w:rsidRDefault="000F2A76" w:rsidP="000F2A76">
            <w:pPr>
              <w:pStyle w:val="ListParagraph"/>
              <w:ind w:left="0"/>
              <w:jc w:val="center"/>
              <w:rPr>
                <w:color w:val="2E74B5" w:themeColor="accent1" w:themeShade="BF"/>
              </w:rPr>
            </w:pPr>
            <w:r>
              <w:rPr>
                <w:color w:val="2E74B5" w:themeColor="accent1" w:themeShade="BF"/>
              </w:rPr>
              <w:t>Open</w:t>
            </w:r>
          </w:p>
        </w:tc>
        <w:tc>
          <w:tcPr>
            <w:tcW w:w="1257" w:type="dxa"/>
          </w:tcPr>
          <w:p w:rsidR="000F2A76" w:rsidRDefault="000F2A76" w:rsidP="000F2A76">
            <w:pPr>
              <w:pStyle w:val="ListParagraph"/>
              <w:ind w:left="0"/>
              <w:jc w:val="center"/>
              <w:rPr>
                <w:color w:val="2E74B5" w:themeColor="accent1" w:themeShade="BF"/>
              </w:rPr>
            </w:pPr>
          </w:p>
        </w:tc>
        <w:tc>
          <w:tcPr>
            <w:tcW w:w="1267" w:type="dxa"/>
          </w:tcPr>
          <w:p w:rsidR="000F2A76" w:rsidRDefault="000F2A76" w:rsidP="000F2A76">
            <w:pPr>
              <w:pStyle w:val="ListParagraph"/>
              <w:ind w:left="0"/>
              <w:jc w:val="center"/>
              <w:rPr>
                <w:color w:val="2E74B5" w:themeColor="accent1" w:themeShade="BF"/>
              </w:rPr>
            </w:pPr>
            <w:r>
              <w:rPr>
                <w:color w:val="2E74B5" w:themeColor="accent1" w:themeShade="BF"/>
              </w:rPr>
              <w:t>JCW</w:t>
            </w:r>
          </w:p>
        </w:tc>
      </w:tr>
      <w:tr w:rsidR="000F2A76" w:rsidTr="000F2A76">
        <w:tc>
          <w:tcPr>
            <w:tcW w:w="4593" w:type="dxa"/>
          </w:tcPr>
          <w:p w:rsidR="000F2A76" w:rsidRDefault="000F2A76" w:rsidP="000F2A76">
            <w:pPr>
              <w:pStyle w:val="ListParagraph"/>
              <w:ind w:left="0"/>
              <w:rPr>
                <w:color w:val="2E74B5" w:themeColor="accent1" w:themeShade="BF"/>
              </w:rPr>
            </w:pPr>
            <w:r>
              <w:rPr>
                <w:color w:val="2E74B5" w:themeColor="accent1" w:themeShade="BF"/>
              </w:rPr>
              <w:t>Arup to provide a horizontally mounted plate on the vertical face of the rock septum for cryostat to attach their flush mounted bridge to cryostat exoskeleton. Cryostat to define plate limits and location</w:t>
            </w:r>
          </w:p>
          <w:p w:rsidR="00426334" w:rsidRDefault="00426334" w:rsidP="000F2A76">
            <w:pPr>
              <w:pStyle w:val="ListParagraph"/>
              <w:ind w:left="0"/>
              <w:rPr>
                <w:color w:val="2E74B5" w:themeColor="accent1" w:themeShade="BF"/>
              </w:rPr>
            </w:pPr>
          </w:p>
        </w:tc>
        <w:tc>
          <w:tcPr>
            <w:tcW w:w="1513" w:type="dxa"/>
          </w:tcPr>
          <w:p w:rsidR="000F2A76" w:rsidRDefault="000F2A76" w:rsidP="000F2A76">
            <w:pPr>
              <w:pStyle w:val="ListParagraph"/>
              <w:ind w:left="0"/>
              <w:jc w:val="center"/>
              <w:rPr>
                <w:color w:val="2E74B5" w:themeColor="accent1" w:themeShade="BF"/>
              </w:rPr>
            </w:pPr>
            <w:r>
              <w:rPr>
                <w:color w:val="2E74B5" w:themeColor="accent1" w:themeShade="BF"/>
              </w:rPr>
              <w:t>Open</w:t>
            </w:r>
          </w:p>
        </w:tc>
        <w:tc>
          <w:tcPr>
            <w:tcW w:w="1257" w:type="dxa"/>
          </w:tcPr>
          <w:p w:rsidR="000F2A76" w:rsidRDefault="000F2A76" w:rsidP="000F2A76">
            <w:pPr>
              <w:pStyle w:val="ListParagraph"/>
              <w:ind w:left="0"/>
              <w:jc w:val="center"/>
              <w:rPr>
                <w:color w:val="2E74B5" w:themeColor="accent1" w:themeShade="BF"/>
              </w:rPr>
            </w:pPr>
          </w:p>
        </w:tc>
        <w:tc>
          <w:tcPr>
            <w:tcW w:w="1267" w:type="dxa"/>
          </w:tcPr>
          <w:p w:rsidR="000F2A76" w:rsidRDefault="000F2A76" w:rsidP="000F2A76">
            <w:pPr>
              <w:pStyle w:val="ListParagraph"/>
              <w:ind w:left="0"/>
              <w:jc w:val="center"/>
              <w:rPr>
                <w:color w:val="2E74B5" w:themeColor="accent1" w:themeShade="BF"/>
              </w:rPr>
            </w:pPr>
            <w:r>
              <w:rPr>
                <w:color w:val="2E74B5" w:themeColor="accent1" w:themeShade="BF"/>
              </w:rPr>
              <w:t>Marzio</w:t>
            </w:r>
          </w:p>
        </w:tc>
      </w:tr>
      <w:tr w:rsidR="00426334" w:rsidTr="000F2A76">
        <w:tc>
          <w:tcPr>
            <w:tcW w:w="4593" w:type="dxa"/>
          </w:tcPr>
          <w:p w:rsidR="00426334" w:rsidRDefault="00426334" w:rsidP="00426334">
            <w:pPr>
              <w:pStyle w:val="ListParagraph"/>
              <w:ind w:left="0"/>
              <w:rPr>
                <w:color w:val="2E74B5" w:themeColor="accent1" w:themeShade="BF"/>
              </w:rPr>
            </w:pPr>
            <w:r>
              <w:rPr>
                <w:color w:val="2E74B5" w:themeColor="accent1" w:themeShade="BF"/>
              </w:rPr>
              <w:t xml:space="preserve">Determine if change control action is necessary </w:t>
            </w:r>
            <w:r w:rsidRPr="00426334">
              <w:rPr>
                <w:color w:val="2E74B5" w:themeColor="accent1" w:themeShade="BF"/>
              </w:rPr>
              <w:t xml:space="preserve">re: </w:t>
            </w:r>
            <w:r w:rsidRPr="00426334">
              <w:rPr>
                <w:color w:val="2E74B5" w:themeColor="accent1" w:themeShade="BF"/>
              </w:rPr>
              <w:t>if two detectors need to be installed before the first detector pit is filled with LAr.</w:t>
            </w:r>
          </w:p>
          <w:p w:rsidR="00426334" w:rsidRDefault="00426334" w:rsidP="00426334">
            <w:pPr>
              <w:pStyle w:val="ListParagraph"/>
              <w:ind w:left="0"/>
              <w:rPr>
                <w:color w:val="2E74B5" w:themeColor="accent1" w:themeShade="BF"/>
              </w:rPr>
            </w:pPr>
          </w:p>
        </w:tc>
        <w:tc>
          <w:tcPr>
            <w:tcW w:w="1513" w:type="dxa"/>
          </w:tcPr>
          <w:p w:rsidR="00426334" w:rsidRDefault="00426334" w:rsidP="00426334">
            <w:pPr>
              <w:pStyle w:val="ListParagraph"/>
              <w:ind w:left="0"/>
              <w:jc w:val="center"/>
              <w:rPr>
                <w:color w:val="2E74B5" w:themeColor="accent1" w:themeShade="BF"/>
              </w:rPr>
            </w:pPr>
            <w:r>
              <w:rPr>
                <w:color w:val="2E74B5" w:themeColor="accent1" w:themeShade="BF"/>
              </w:rPr>
              <w:t>Open</w:t>
            </w:r>
          </w:p>
        </w:tc>
        <w:tc>
          <w:tcPr>
            <w:tcW w:w="1257" w:type="dxa"/>
          </w:tcPr>
          <w:p w:rsidR="00426334" w:rsidRDefault="00426334" w:rsidP="00426334">
            <w:pPr>
              <w:pStyle w:val="ListParagraph"/>
              <w:ind w:left="0"/>
              <w:jc w:val="center"/>
              <w:rPr>
                <w:color w:val="2E74B5" w:themeColor="accent1" w:themeShade="BF"/>
              </w:rPr>
            </w:pPr>
          </w:p>
        </w:tc>
        <w:tc>
          <w:tcPr>
            <w:tcW w:w="1267" w:type="dxa"/>
          </w:tcPr>
          <w:p w:rsidR="00426334" w:rsidRDefault="00426334" w:rsidP="00426334">
            <w:pPr>
              <w:pStyle w:val="ListParagraph"/>
              <w:ind w:left="0"/>
              <w:jc w:val="center"/>
              <w:rPr>
                <w:color w:val="2E74B5" w:themeColor="accent1" w:themeShade="BF"/>
              </w:rPr>
            </w:pPr>
            <w:r>
              <w:rPr>
                <w:color w:val="2E74B5" w:themeColor="accent1" w:themeShade="BF"/>
              </w:rPr>
              <w:t>EFIG</w:t>
            </w:r>
          </w:p>
        </w:tc>
      </w:tr>
      <w:tr w:rsidR="00426334" w:rsidTr="000F2A76">
        <w:tc>
          <w:tcPr>
            <w:tcW w:w="4593" w:type="dxa"/>
          </w:tcPr>
          <w:p w:rsidR="00426334" w:rsidRDefault="00426334" w:rsidP="00426334">
            <w:pPr>
              <w:pStyle w:val="ListParagraph"/>
              <w:ind w:left="0"/>
              <w:rPr>
                <w:color w:val="2E74B5" w:themeColor="accent1" w:themeShade="BF"/>
              </w:rPr>
            </w:pPr>
            <w:r>
              <w:rPr>
                <w:color w:val="2E74B5" w:themeColor="accent1" w:themeShade="BF"/>
              </w:rPr>
              <w:t>3D modelling work on version 3 has progressed; however, work has stopped to support design of ProtoDUNE. Work is re-starting week of 3/21/16</w:t>
            </w:r>
          </w:p>
          <w:p w:rsidR="00426334" w:rsidRDefault="00426334" w:rsidP="00426334">
            <w:pPr>
              <w:pStyle w:val="ListParagraph"/>
              <w:ind w:left="0"/>
              <w:rPr>
                <w:color w:val="2E74B5" w:themeColor="accent1" w:themeShade="BF"/>
              </w:rPr>
            </w:pPr>
          </w:p>
        </w:tc>
        <w:tc>
          <w:tcPr>
            <w:tcW w:w="1513" w:type="dxa"/>
          </w:tcPr>
          <w:p w:rsidR="00426334" w:rsidRDefault="00426334" w:rsidP="00426334">
            <w:pPr>
              <w:pStyle w:val="ListParagraph"/>
              <w:ind w:left="0"/>
              <w:jc w:val="center"/>
              <w:rPr>
                <w:color w:val="2E74B5" w:themeColor="accent1" w:themeShade="BF"/>
              </w:rPr>
            </w:pPr>
            <w:r>
              <w:rPr>
                <w:color w:val="2E74B5" w:themeColor="accent1" w:themeShade="BF"/>
              </w:rPr>
              <w:t>Open</w:t>
            </w:r>
          </w:p>
        </w:tc>
        <w:tc>
          <w:tcPr>
            <w:tcW w:w="1257" w:type="dxa"/>
          </w:tcPr>
          <w:p w:rsidR="00426334" w:rsidRDefault="00426334" w:rsidP="00426334">
            <w:pPr>
              <w:pStyle w:val="ListParagraph"/>
              <w:ind w:left="0"/>
              <w:jc w:val="center"/>
              <w:rPr>
                <w:color w:val="2E74B5" w:themeColor="accent1" w:themeShade="BF"/>
              </w:rPr>
            </w:pPr>
          </w:p>
        </w:tc>
        <w:tc>
          <w:tcPr>
            <w:tcW w:w="1267" w:type="dxa"/>
          </w:tcPr>
          <w:p w:rsidR="00426334" w:rsidRDefault="00426334" w:rsidP="00426334">
            <w:pPr>
              <w:pStyle w:val="ListParagraph"/>
              <w:ind w:left="0"/>
              <w:jc w:val="center"/>
              <w:rPr>
                <w:color w:val="2E74B5" w:themeColor="accent1" w:themeShade="BF"/>
              </w:rPr>
            </w:pPr>
            <w:r>
              <w:rPr>
                <w:color w:val="2E74B5" w:themeColor="accent1" w:themeShade="BF"/>
              </w:rPr>
              <w:t>Marzio</w:t>
            </w:r>
          </w:p>
        </w:tc>
      </w:tr>
      <w:tr w:rsidR="00426334" w:rsidTr="000F2A76">
        <w:tc>
          <w:tcPr>
            <w:tcW w:w="4593" w:type="dxa"/>
          </w:tcPr>
          <w:p w:rsidR="00426334" w:rsidRDefault="00426334" w:rsidP="00426334">
            <w:pPr>
              <w:pStyle w:val="ListParagraph"/>
              <w:ind w:left="0"/>
              <w:rPr>
                <w:color w:val="2E74B5" w:themeColor="accent1" w:themeShade="BF"/>
              </w:rPr>
            </w:pPr>
            <w:r>
              <w:rPr>
                <w:color w:val="2E74B5" w:themeColor="accent1" w:themeShade="BF"/>
              </w:rPr>
              <w:t>Verify that the schedule allows lessons learned from ProtoDUNE can be incorporated into the design of LBNF cryostat</w:t>
            </w:r>
          </w:p>
          <w:p w:rsidR="00426334" w:rsidRDefault="00426334" w:rsidP="00426334">
            <w:pPr>
              <w:pStyle w:val="ListParagraph"/>
              <w:ind w:left="0"/>
              <w:rPr>
                <w:color w:val="2E74B5" w:themeColor="accent1" w:themeShade="BF"/>
              </w:rPr>
            </w:pPr>
          </w:p>
        </w:tc>
        <w:tc>
          <w:tcPr>
            <w:tcW w:w="1513" w:type="dxa"/>
          </w:tcPr>
          <w:p w:rsidR="00426334" w:rsidRDefault="00426334" w:rsidP="00426334">
            <w:pPr>
              <w:pStyle w:val="ListParagraph"/>
              <w:ind w:left="0"/>
              <w:jc w:val="center"/>
              <w:rPr>
                <w:color w:val="2E74B5" w:themeColor="accent1" w:themeShade="BF"/>
              </w:rPr>
            </w:pPr>
            <w:r>
              <w:rPr>
                <w:color w:val="2E74B5" w:themeColor="accent1" w:themeShade="BF"/>
              </w:rPr>
              <w:t>Open</w:t>
            </w:r>
          </w:p>
        </w:tc>
        <w:tc>
          <w:tcPr>
            <w:tcW w:w="1257" w:type="dxa"/>
          </w:tcPr>
          <w:p w:rsidR="00426334" w:rsidRDefault="00426334" w:rsidP="00426334">
            <w:pPr>
              <w:pStyle w:val="ListParagraph"/>
              <w:ind w:left="0"/>
              <w:jc w:val="center"/>
              <w:rPr>
                <w:color w:val="2E74B5" w:themeColor="accent1" w:themeShade="BF"/>
              </w:rPr>
            </w:pPr>
          </w:p>
        </w:tc>
        <w:tc>
          <w:tcPr>
            <w:tcW w:w="1267" w:type="dxa"/>
          </w:tcPr>
          <w:p w:rsidR="00426334" w:rsidRDefault="00426334" w:rsidP="00426334">
            <w:pPr>
              <w:pStyle w:val="ListParagraph"/>
              <w:ind w:left="0"/>
              <w:jc w:val="center"/>
              <w:rPr>
                <w:color w:val="2E74B5" w:themeColor="accent1" w:themeShade="BF"/>
              </w:rPr>
            </w:pPr>
            <w:r>
              <w:rPr>
                <w:color w:val="2E74B5" w:themeColor="accent1" w:themeShade="BF"/>
              </w:rPr>
              <w:t>Marzio</w:t>
            </w:r>
          </w:p>
        </w:tc>
      </w:tr>
      <w:tr w:rsidR="00426334" w:rsidTr="000F2A76">
        <w:tc>
          <w:tcPr>
            <w:tcW w:w="4593" w:type="dxa"/>
          </w:tcPr>
          <w:p w:rsidR="00426334" w:rsidRDefault="00426334" w:rsidP="00426334">
            <w:pPr>
              <w:pStyle w:val="ListParagraph"/>
              <w:ind w:left="0"/>
              <w:rPr>
                <w:color w:val="2E74B5" w:themeColor="accent1" w:themeShade="BF"/>
              </w:rPr>
            </w:pPr>
            <w:r>
              <w:rPr>
                <w:color w:val="2E74B5" w:themeColor="accent1" w:themeShade="BF"/>
              </w:rPr>
              <w:t>Provide load and spacing definition for unistruts</w:t>
            </w:r>
          </w:p>
          <w:p w:rsidR="00426334" w:rsidRDefault="00426334" w:rsidP="00426334">
            <w:pPr>
              <w:pStyle w:val="ListParagraph"/>
              <w:ind w:left="0"/>
              <w:rPr>
                <w:color w:val="2E74B5" w:themeColor="accent1" w:themeShade="BF"/>
              </w:rPr>
            </w:pPr>
          </w:p>
        </w:tc>
        <w:tc>
          <w:tcPr>
            <w:tcW w:w="1513" w:type="dxa"/>
          </w:tcPr>
          <w:p w:rsidR="00426334" w:rsidRDefault="00426334" w:rsidP="00426334">
            <w:pPr>
              <w:pStyle w:val="ListParagraph"/>
              <w:ind w:left="0"/>
              <w:jc w:val="center"/>
              <w:rPr>
                <w:color w:val="2E74B5" w:themeColor="accent1" w:themeShade="BF"/>
              </w:rPr>
            </w:pPr>
            <w:r>
              <w:rPr>
                <w:color w:val="2E74B5" w:themeColor="accent1" w:themeShade="BF"/>
              </w:rPr>
              <w:t>Open</w:t>
            </w:r>
          </w:p>
        </w:tc>
        <w:tc>
          <w:tcPr>
            <w:tcW w:w="1257" w:type="dxa"/>
          </w:tcPr>
          <w:p w:rsidR="00426334" w:rsidRDefault="00426334" w:rsidP="00426334">
            <w:pPr>
              <w:pStyle w:val="ListParagraph"/>
              <w:ind w:left="0"/>
              <w:jc w:val="center"/>
              <w:rPr>
                <w:color w:val="2E74B5" w:themeColor="accent1" w:themeShade="BF"/>
              </w:rPr>
            </w:pPr>
          </w:p>
        </w:tc>
        <w:tc>
          <w:tcPr>
            <w:tcW w:w="1267" w:type="dxa"/>
          </w:tcPr>
          <w:p w:rsidR="00426334" w:rsidRDefault="00426334" w:rsidP="00426334">
            <w:pPr>
              <w:pStyle w:val="ListParagraph"/>
              <w:ind w:left="0"/>
              <w:jc w:val="center"/>
              <w:rPr>
                <w:color w:val="2E74B5" w:themeColor="accent1" w:themeShade="BF"/>
              </w:rPr>
            </w:pPr>
            <w:r>
              <w:rPr>
                <w:color w:val="2E74B5" w:themeColor="accent1" w:themeShade="BF"/>
              </w:rPr>
              <w:t>cryogenics</w:t>
            </w:r>
          </w:p>
        </w:tc>
      </w:tr>
      <w:tr w:rsidR="00426334" w:rsidTr="000F2A76">
        <w:tc>
          <w:tcPr>
            <w:tcW w:w="4593" w:type="dxa"/>
          </w:tcPr>
          <w:p w:rsidR="00426334" w:rsidRDefault="00426334" w:rsidP="00426334">
            <w:pPr>
              <w:pStyle w:val="ListParagraph"/>
              <w:ind w:left="0"/>
              <w:rPr>
                <w:color w:val="2E74B5" w:themeColor="accent1" w:themeShade="BF"/>
              </w:rPr>
            </w:pPr>
            <w:r>
              <w:rPr>
                <w:color w:val="2E74B5" w:themeColor="accent1" w:themeShade="BF"/>
              </w:rPr>
              <w:t>Mezzanine total load currently defined a 120 metric tons (133 US short tons). Cryogenics to provide better definition of loading footprint</w:t>
            </w:r>
          </w:p>
          <w:p w:rsidR="00426334" w:rsidRDefault="00426334" w:rsidP="00426334">
            <w:pPr>
              <w:pStyle w:val="ListParagraph"/>
              <w:ind w:left="0"/>
              <w:rPr>
                <w:color w:val="2E74B5" w:themeColor="accent1" w:themeShade="BF"/>
              </w:rPr>
            </w:pPr>
          </w:p>
        </w:tc>
        <w:tc>
          <w:tcPr>
            <w:tcW w:w="1513" w:type="dxa"/>
          </w:tcPr>
          <w:p w:rsidR="00426334" w:rsidRDefault="00426334" w:rsidP="00426334">
            <w:pPr>
              <w:pStyle w:val="ListParagraph"/>
              <w:ind w:left="0"/>
              <w:jc w:val="center"/>
              <w:rPr>
                <w:color w:val="2E74B5" w:themeColor="accent1" w:themeShade="BF"/>
              </w:rPr>
            </w:pPr>
            <w:r>
              <w:rPr>
                <w:color w:val="2E74B5" w:themeColor="accent1" w:themeShade="BF"/>
              </w:rPr>
              <w:t>Open</w:t>
            </w:r>
          </w:p>
        </w:tc>
        <w:tc>
          <w:tcPr>
            <w:tcW w:w="1257" w:type="dxa"/>
          </w:tcPr>
          <w:p w:rsidR="00426334" w:rsidRDefault="00426334" w:rsidP="00426334">
            <w:pPr>
              <w:pStyle w:val="ListParagraph"/>
              <w:ind w:left="0"/>
              <w:jc w:val="center"/>
              <w:rPr>
                <w:color w:val="2E74B5" w:themeColor="accent1" w:themeShade="BF"/>
              </w:rPr>
            </w:pPr>
          </w:p>
        </w:tc>
        <w:tc>
          <w:tcPr>
            <w:tcW w:w="1267" w:type="dxa"/>
          </w:tcPr>
          <w:p w:rsidR="00426334" w:rsidRDefault="00426334" w:rsidP="00426334">
            <w:pPr>
              <w:pStyle w:val="ListParagraph"/>
              <w:ind w:left="0"/>
              <w:jc w:val="center"/>
              <w:rPr>
                <w:color w:val="2E74B5" w:themeColor="accent1" w:themeShade="BF"/>
              </w:rPr>
            </w:pPr>
            <w:r>
              <w:rPr>
                <w:color w:val="2E74B5" w:themeColor="accent1" w:themeShade="BF"/>
              </w:rPr>
              <w:t>David M</w:t>
            </w:r>
          </w:p>
        </w:tc>
      </w:tr>
      <w:tr w:rsidR="00426334" w:rsidTr="000F2A76">
        <w:tc>
          <w:tcPr>
            <w:tcW w:w="4593" w:type="dxa"/>
          </w:tcPr>
          <w:p w:rsidR="00426334" w:rsidRDefault="00426334" w:rsidP="00426334">
            <w:pPr>
              <w:pStyle w:val="ListParagraph"/>
              <w:ind w:left="0"/>
              <w:rPr>
                <w:color w:val="2E74B5" w:themeColor="accent1" w:themeShade="BF"/>
              </w:rPr>
            </w:pPr>
            <w:r>
              <w:rPr>
                <w:color w:val="2E74B5" w:themeColor="accent1" w:themeShade="BF"/>
              </w:rPr>
              <w:t xml:space="preserve">Provide tighter tolerance for the detector pit concrete slab than +/- ¾ inch. Plan to provide OVERALL FF=25 (approximate +/- ¼ inch over 10-ft straightedge) and FL=20 (approximate +/- 5/16-inch) with LOCALIZED FF=17 (approximate +/- 3/8inch) and FL=15 (approximate +/-3/8inch) </w:t>
            </w:r>
          </w:p>
          <w:p w:rsidR="00426334" w:rsidRDefault="00426334" w:rsidP="00426334">
            <w:pPr>
              <w:pStyle w:val="ListParagraph"/>
              <w:ind w:left="0"/>
              <w:rPr>
                <w:color w:val="2E74B5" w:themeColor="accent1" w:themeShade="BF"/>
              </w:rPr>
            </w:pPr>
            <w:r>
              <w:rPr>
                <w:color w:val="2E74B5" w:themeColor="accent1" w:themeShade="BF"/>
              </w:rPr>
              <w:t xml:space="preserve">  </w:t>
            </w:r>
          </w:p>
        </w:tc>
        <w:tc>
          <w:tcPr>
            <w:tcW w:w="1513" w:type="dxa"/>
          </w:tcPr>
          <w:p w:rsidR="00426334" w:rsidRDefault="00426334" w:rsidP="00426334">
            <w:pPr>
              <w:pStyle w:val="ListParagraph"/>
              <w:ind w:left="0"/>
              <w:jc w:val="center"/>
              <w:rPr>
                <w:color w:val="2E74B5" w:themeColor="accent1" w:themeShade="BF"/>
              </w:rPr>
            </w:pPr>
            <w:r>
              <w:rPr>
                <w:color w:val="2E74B5" w:themeColor="accent1" w:themeShade="BF"/>
              </w:rPr>
              <w:t>Open</w:t>
            </w:r>
          </w:p>
        </w:tc>
        <w:tc>
          <w:tcPr>
            <w:tcW w:w="1257" w:type="dxa"/>
          </w:tcPr>
          <w:p w:rsidR="00426334" w:rsidRDefault="00426334" w:rsidP="00426334">
            <w:pPr>
              <w:pStyle w:val="ListParagraph"/>
              <w:ind w:left="0"/>
              <w:jc w:val="center"/>
              <w:rPr>
                <w:color w:val="2E74B5" w:themeColor="accent1" w:themeShade="BF"/>
              </w:rPr>
            </w:pPr>
          </w:p>
        </w:tc>
        <w:tc>
          <w:tcPr>
            <w:tcW w:w="1267" w:type="dxa"/>
          </w:tcPr>
          <w:p w:rsidR="00426334" w:rsidRDefault="00426334" w:rsidP="00426334">
            <w:pPr>
              <w:pStyle w:val="ListParagraph"/>
              <w:ind w:left="0"/>
              <w:jc w:val="center"/>
              <w:rPr>
                <w:color w:val="2E74B5" w:themeColor="accent1" w:themeShade="BF"/>
              </w:rPr>
            </w:pPr>
            <w:r>
              <w:rPr>
                <w:color w:val="2E74B5" w:themeColor="accent1" w:themeShade="BF"/>
              </w:rPr>
              <w:t>Doug</w:t>
            </w:r>
          </w:p>
        </w:tc>
      </w:tr>
      <w:tr w:rsidR="00426334" w:rsidTr="000F2A76">
        <w:tc>
          <w:tcPr>
            <w:tcW w:w="4593" w:type="dxa"/>
          </w:tcPr>
          <w:p w:rsidR="00426334" w:rsidRDefault="00426334" w:rsidP="00426334">
            <w:pPr>
              <w:pStyle w:val="ListParagraph"/>
              <w:ind w:left="0"/>
              <w:rPr>
                <w:color w:val="2E74B5" w:themeColor="accent1" w:themeShade="BF"/>
              </w:rPr>
            </w:pPr>
            <w:r>
              <w:rPr>
                <w:color w:val="2E74B5" w:themeColor="accent1" w:themeShade="BF"/>
              </w:rPr>
              <w:t>S</w:t>
            </w:r>
            <w:r w:rsidRPr="00D25811">
              <w:rPr>
                <w:color w:val="2E74B5" w:themeColor="accent1" w:themeShade="BF"/>
              </w:rPr>
              <w:t>tudy the cryostat materials and tender documents to determine the units to be used for those systems</w:t>
            </w:r>
          </w:p>
          <w:p w:rsidR="00426334" w:rsidRDefault="00426334" w:rsidP="00426334">
            <w:pPr>
              <w:pStyle w:val="ListParagraph"/>
              <w:ind w:left="0"/>
              <w:rPr>
                <w:color w:val="2E74B5" w:themeColor="accent1" w:themeShade="BF"/>
              </w:rPr>
            </w:pPr>
          </w:p>
        </w:tc>
        <w:tc>
          <w:tcPr>
            <w:tcW w:w="1513" w:type="dxa"/>
          </w:tcPr>
          <w:p w:rsidR="00426334" w:rsidRDefault="00426334" w:rsidP="00426334">
            <w:pPr>
              <w:pStyle w:val="ListParagraph"/>
              <w:ind w:left="0"/>
              <w:jc w:val="center"/>
              <w:rPr>
                <w:color w:val="2E74B5" w:themeColor="accent1" w:themeShade="BF"/>
              </w:rPr>
            </w:pPr>
            <w:r>
              <w:rPr>
                <w:color w:val="2E74B5" w:themeColor="accent1" w:themeShade="BF"/>
              </w:rPr>
              <w:t>Open</w:t>
            </w:r>
          </w:p>
        </w:tc>
        <w:tc>
          <w:tcPr>
            <w:tcW w:w="1257" w:type="dxa"/>
          </w:tcPr>
          <w:p w:rsidR="00426334" w:rsidRDefault="00426334" w:rsidP="00426334">
            <w:pPr>
              <w:pStyle w:val="ListParagraph"/>
              <w:ind w:left="0"/>
              <w:jc w:val="center"/>
              <w:rPr>
                <w:color w:val="2E74B5" w:themeColor="accent1" w:themeShade="BF"/>
              </w:rPr>
            </w:pPr>
          </w:p>
        </w:tc>
        <w:tc>
          <w:tcPr>
            <w:tcW w:w="1267" w:type="dxa"/>
          </w:tcPr>
          <w:p w:rsidR="00426334" w:rsidRDefault="00426334" w:rsidP="00426334">
            <w:pPr>
              <w:pStyle w:val="ListParagraph"/>
              <w:ind w:left="0"/>
              <w:jc w:val="center"/>
              <w:rPr>
                <w:color w:val="2E74B5" w:themeColor="accent1" w:themeShade="BF"/>
              </w:rPr>
            </w:pPr>
            <w:r>
              <w:rPr>
                <w:color w:val="2E74B5" w:themeColor="accent1" w:themeShade="BF"/>
              </w:rPr>
              <w:t>David M</w:t>
            </w:r>
          </w:p>
        </w:tc>
      </w:tr>
      <w:tr w:rsidR="00426334" w:rsidTr="000F2A76">
        <w:tc>
          <w:tcPr>
            <w:tcW w:w="4593" w:type="dxa"/>
          </w:tcPr>
          <w:p w:rsidR="00426334" w:rsidRDefault="00426334" w:rsidP="00426334">
            <w:pPr>
              <w:pStyle w:val="ListParagraph"/>
              <w:ind w:left="0"/>
              <w:rPr>
                <w:color w:val="2E74B5" w:themeColor="accent1" w:themeShade="BF"/>
              </w:rPr>
            </w:pPr>
            <w:r>
              <w:rPr>
                <w:color w:val="2E74B5" w:themeColor="accent1" w:themeShade="BF"/>
              </w:rPr>
              <w:t>Define who supplies the “tugs” for moving cryostat pieces at the 4850L</w:t>
            </w:r>
          </w:p>
          <w:p w:rsidR="00426334" w:rsidRDefault="00426334" w:rsidP="00426334">
            <w:pPr>
              <w:pStyle w:val="ListParagraph"/>
              <w:ind w:left="0"/>
              <w:rPr>
                <w:color w:val="2E74B5" w:themeColor="accent1" w:themeShade="BF"/>
              </w:rPr>
            </w:pPr>
          </w:p>
        </w:tc>
        <w:tc>
          <w:tcPr>
            <w:tcW w:w="1513" w:type="dxa"/>
          </w:tcPr>
          <w:p w:rsidR="00426334" w:rsidRDefault="00426334" w:rsidP="00426334">
            <w:pPr>
              <w:pStyle w:val="ListParagraph"/>
              <w:ind w:left="0"/>
              <w:jc w:val="center"/>
              <w:rPr>
                <w:color w:val="2E74B5" w:themeColor="accent1" w:themeShade="BF"/>
              </w:rPr>
            </w:pPr>
            <w:r>
              <w:rPr>
                <w:color w:val="2E74B5" w:themeColor="accent1" w:themeShade="BF"/>
              </w:rPr>
              <w:t>Open</w:t>
            </w:r>
          </w:p>
        </w:tc>
        <w:tc>
          <w:tcPr>
            <w:tcW w:w="1257" w:type="dxa"/>
          </w:tcPr>
          <w:p w:rsidR="00426334" w:rsidRDefault="00426334" w:rsidP="00426334">
            <w:pPr>
              <w:pStyle w:val="ListParagraph"/>
              <w:ind w:left="0"/>
              <w:jc w:val="center"/>
              <w:rPr>
                <w:color w:val="2E74B5" w:themeColor="accent1" w:themeShade="BF"/>
              </w:rPr>
            </w:pPr>
          </w:p>
        </w:tc>
        <w:tc>
          <w:tcPr>
            <w:tcW w:w="1267" w:type="dxa"/>
          </w:tcPr>
          <w:p w:rsidR="00426334" w:rsidRDefault="00426334" w:rsidP="00426334">
            <w:pPr>
              <w:pStyle w:val="ListParagraph"/>
              <w:ind w:left="0"/>
              <w:jc w:val="center"/>
              <w:rPr>
                <w:color w:val="2E74B5" w:themeColor="accent1" w:themeShade="BF"/>
              </w:rPr>
            </w:pPr>
            <w:r>
              <w:rPr>
                <w:color w:val="2E74B5" w:themeColor="accent1" w:themeShade="BF"/>
              </w:rPr>
              <w:t>JCW &amp; ND</w:t>
            </w:r>
          </w:p>
        </w:tc>
      </w:tr>
      <w:tr w:rsidR="00426334" w:rsidTr="000F2A76">
        <w:tc>
          <w:tcPr>
            <w:tcW w:w="4593" w:type="dxa"/>
          </w:tcPr>
          <w:p w:rsidR="00426334" w:rsidRDefault="00426334" w:rsidP="00426334">
            <w:pPr>
              <w:pStyle w:val="ListParagraph"/>
              <w:ind w:left="0"/>
              <w:rPr>
                <w:color w:val="2E74B5" w:themeColor="accent1" w:themeShade="BF"/>
              </w:rPr>
            </w:pPr>
            <w:bookmarkStart w:id="0" w:name="_GoBack"/>
            <w:bookmarkEnd w:id="0"/>
            <w:r>
              <w:rPr>
                <w:color w:val="2E74B5" w:themeColor="accent1" w:themeShade="BF"/>
              </w:rPr>
              <w:t>Determine if te</w:t>
            </w:r>
            <w:r w:rsidRPr="00F168BB">
              <w:rPr>
                <w:color w:val="2E74B5" w:themeColor="accent1" w:themeShade="BF"/>
              </w:rPr>
              <w:t xml:space="preserve">mporary </w:t>
            </w:r>
            <w:r>
              <w:rPr>
                <w:color w:val="2E74B5" w:themeColor="accent1" w:themeShade="BF"/>
              </w:rPr>
              <w:t xml:space="preserve">vertical </w:t>
            </w:r>
            <w:r w:rsidRPr="00F168BB">
              <w:rPr>
                <w:color w:val="2E74B5" w:themeColor="accent1" w:themeShade="BF"/>
              </w:rPr>
              <w:t>access to the pit level from 4850L would be left in place by the CF contractors</w:t>
            </w:r>
            <w:r>
              <w:rPr>
                <w:color w:val="2E74B5" w:themeColor="accent1" w:themeShade="BF"/>
              </w:rPr>
              <w:t xml:space="preserve">. </w:t>
            </w:r>
          </w:p>
          <w:p w:rsidR="00426334" w:rsidRDefault="00426334" w:rsidP="00426334">
            <w:pPr>
              <w:pStyle w:val="ListParagraph"/>
              <w:ind w:left="0"/>
              <w:rPr>
                <w:color w:val="2E74B5" w:themeColor="accent1" w:themeShade="BF"/>
              </w:rPr>
            </w:pPr>
          </w:p>
        </w:tc>
        <w:tc>
          <w:tcPr>
            <w:tcW w:w="1513" w:type="dxa"/>
          </w:tcPr>
          <w:p w:rsidR="00426334" w:rsidRDefault="00426334" w:rsidP="00426334">
            <w:pPr>
              <w:pStyle w:val="ListParagraph"/>
              <w:ind w:left="0"/>
              <w:jc w:val="center"/>
              <w:rPr>
                <w:color w:val="2E74B5" w:themeColor="accent1" w:themeShade="BF"/>
              </w:rPr>
            </w:pPr>
            <w:r>
              <w:rPr>
                <w:color w:val="2E74B5" w:themeColor="accent1" w:themeShade="BF"/>
              </w:rPr>
              <w:t>Open</w:t>
            </w:r>
          </w:p>
        </w:tc>
        <w:tc>
          <w:tcPr>
            <w:tcW w:w="1257" w:type="dxa"/>
          </w:tcPr>
          <w:p w:rsidR="00426334" w:rsidRDefault="00426334" w:rsidP="00426334">
            <w:pPr>
              <w:pStyle w:val="ListParagraph"/>
              <w:ind w:left="0"/>
              <w:jc w:val="center"/>
              <w:rPr>
                <w:color w:val="2E74B5" w:themeColor="accent1" w:themeShade="BF"/>
              </w:rPr>
            </w:pPr>
          </w:p>
        </w:tc>
        <w:tc>
          <w:tcPr>
            <w:tcW w:w="1267" w:type="dxa"/>
          </w:tcPr>
          <w:p w:rsidR="00426334" w:rsidRDefault="00426334" w:rsidP="00426334">
            <w:pPr>
              <w:pStyle w:val="ListParagraph"/>
              <w:ind w:left="0"/>
              <w:jc w:val="center"/>
              <w:rPr>
                <w:color w:val="2E74B5" w:themeColor="accent1" w:themeShade="BF"/>
              </w:rPr>
            </w:pPr>
            <w:r>
              <w:rPr>
                <w:color w:val="2E74B5" w:themeColor="accent1" w:themeShade="BF"/>
              </w:rPr>
              <w:t>ND</w:t>
            </w:r>
          </w:p>
        </w:tc>
      </w:tr>
      <w:tr w:rsidR="00426334" w:rsidTr="000F2A76">
        <w:tc>
          <w:tcPr>
            <w:tcW w:w="4593" w:type="dxa"/>
          </w:tcPr>
          <w:p w:rsidR="00426334" w:rsidRDefault="00426334" w:rsidP="00426334">
            <w:pPr>
              <w:rPr>
                <w:rFonts w:eastAsia="Calibri" w:cs="Times New Roman"/>
                <w:color w:val="2E74B5" w:themeColor="accent1" w:themeShade="BF"/>
              </w:rPr>
            </w:pPr>
            <w:r w:rsidRPr="00374693">
              <w:rPr>
                <w:rFonts w:eastAsia="Calibri" w:cs="Times New Roman"/>
                <w:color w:val="2E74B5" w:themeColor="accent1" w:themeShade="BF"/>
              </w:rPr>
              <w:t>The majority of the work needing a machine shop would be underground</w:t>
            </w:r>
            <w:r>
              <w:rPr>
                <w:rFonts w:eastAsia="Calibri" w:cs="Times New Roman"/>
                <w:color w:val="2E74B5" w:themeColor="accent1" w:themeShade="BF"/>
              </w:rPr>
              <w:t xml:space="preserve">; however, cryogenics </w:t>
            </w:r>
            <w:r w:rsidRPr="00374693">
              <w:rPr>
                <w:rFonts w:eastAsia="Calibri" w:cs="Times New Roman"/>
                <w:color w:val="2E74B5" w:themeColor="accent1" w:themeShade="BF"/>
              </w:rPr>
              <w:t>prefer</w:t>
            </w:r>
            <w:r>
              <w:rPr>
                <w:rFonts w:eastAsia="Calibri" w:cs="Times New Roman"/>
                <w:color w:val="2E74B5" w:themeColor="accent1" w:themeShade="BF"/>
              </w:rPr>
              <w:t>s</w:t>
            </w:r>
            <w:r w:rsidRPr="00374693">
              <w:rPr>
                <w:rFonts w:eastAsia="Calibri" w:cs="Times New Roman"/>
                <w:color w:val="2E74B5" w:themeColor="accent1" w:themeShade="BF"/>
              </w:rPr>
              <w:t xml:space="preserve"> to keep the flexibility of a machine shop above ground as well.</w:t>
            </w:r>
            <w:r>
              <w:rPr>
                <w:rFonts w:eastAsia="Calibri" w:cs="Times New Roman"/>
                <w:color w:val="2E74B5" w:themeColor="accent1" w:themeShade="BF"/>
              </w:rPr>
              <w:t xml:space="preserve"> </w:t>
            </w:r>
            <w:r w:rsidRPr="00374693">
              <w:rPr>
                <w:rFonts w:eastAsia="Calibri" w:cs="Times New Roman"/>
                <w:color w:val="2E74B5" w:themeColor="accent1" w:themeShade="BF"/>
              </w:rPr>
              <w:t xml:space="preserve">Using the compressor building </w:t>
            </w:r>
            <w:r>
              <w:rPr>
                <w:rFonts w:eastAsia="Calibri" w:cs="Times New Roman"/>
                <w:color w:val="2E74B5" w:themeColor="accent1" w:themeShade="BF"/>
              </w:rPr>
              <w:t xml:space="preserve">(surface) </w:t>
            </w:r>
            <w:r w:rsidRPr="00374693">
              <w:rPr>
                <w:rFonts w:eastAsia="Calibri" w:cs="Times New Roman"/>
                <w:color w:val="2E74B5" w:themeColor="accent1" w:themeShade="BF"/>
              </w:rPr>
              <w:t xml:space="preserve">would </w:t>
            </w:r>
            <w:r>
              <w:rPr>
                <w:rFonts w:eastAsia="Calibri" w:cs="Times New Roman"/>
                <w:color w:val="2E74B5" w:themeColor="accent1" w:themeShade="BF"/>
              </w:rPr>
              <w:t>OK</w:t>
            </w:r>
            <w:r w:rsidRPr="00374693">
              <w:rPr>
                <w:rFonts w:eastAsia="Calibri" w:cs="Times New Roman"/>
                <w:color w:val="2E74B5" w:themeColor="accent1" w:themeShade="BF"/>
              </w:rPr>
              <w:t xml:space="preserve"> as long as there is no damage/alteration to the equipment support pads (inside and outside).</w:t>
            </w:r>
            <w:r>
              <w:rPr>
                <w:rFonts w:eastAsia="Calibri" w:cs="Times New Roman"/>
                <w:color w:val="2E74B5" w:themeColor="accent1" w:themeShade="BF"/>
              </w:rPr>
              <w:t xml:space="preserve"> Cryogenics </w:t>
            </w:r>
            <w:r w:rsidRPr="00374693">
              <w:rPr>
                <w:rFonts w:eastAsia="Calibri" w:cs="Times New Roman"/>
                <w:color w:val="2E74B5" w:themeColor="accent1" w:themeShade="BF"/>
              </w:rPr>
              <w:t>would also prefer to restrict its use to before the installation of the 1st compressor. After that access to the building should be limited to the workers directly involved with the construction and the space reduces as the installation proceeds.</w:t>
            </w:r>
          </w:p>
          <w:p w:rsidR="00426334" w:rsidRPr="00D25811" w:rsidRDefault="00426334" w:rsidP="00426334">
            <w:pPr>
              <w:rPr>
                <w:color w:val="2E74B5" w:themeColor="accent1" w:themeShade="BF"/>
              </w:rPr>
            </w:pPr>
          </w:p>
        </w:tc>
        <w:tc>
          <w:tcPr>
            <w:tcW w:w="1513" w:type="dxa"/>
          </w:tcPr>
          <w:p w:rsidR="00426334" w:rsidRPr="00D25811" w:rsidRDefault="00426334" w:rsidP="00426334">
            <w:pPr>
              <w:spacing w:after="160" w:line="259" w:lineRule="auto"/>
              <w:jc w:val="center"/>
              <w:rPr>
                <w:color w:val="2E74B5" w:themeColor="accent1" w:themeShade="BF"/>
              </w:rPr>
            </w:pPr>
            <w:r>
              <w:rPr>
                <w:color w:val="2E74B5" w:themeColor="accent1" w:themeShade="BF"/>
              </w:rPr>
              <w:t>Open</w:t>
            </w:r>
          </w:p>
        </w:tc>
        <w:tc>
          <w:tcPr>
            <w:tcW w:w="1257" w:type="dxa"/>
          </w:tcPr>
          <w:p w:rsidR="00426334" w:rsidRPr="00D25811" w:rsidRDefault="00426334" w:rsidP="00426334">
            <w:pPr>
              <w:spacing w:after="160" w:line="259" w:lineRule="auto"/>
              <w:rPr>
                <w:color w:val="2E74B5" w:themeColor="accent1" w:themeShade="BF"/>
              </w:rPr>
            </w:pPr>
          </w:p>
        </w:tc>
        <w:tc>
          <w:tcPr>
            <w:tcW w:w="1267" w:type="dxa"/>
          </w:tcPr>
          <w:p w:rsidR="00426334" w:rsidRPr="00D25811" w:rsidRDefault="00426334" w:rsidP="00426334">
            <w:pPr>
              <w:spacing w:after="160" w:line="259" w:lineRule="auto"/>
              <w:rPr>
                <w:color w:val="2E74B5" w:themeColor="accent1" w:themeShade="BF"/>
              </w:rPr>
            </w:pPr>
            <w:r>
              <w:rPr>
                <w:color w:val="2E74B5" w:themeColor="accent1" w:themeShade="BF"/>
              </w:rPr>
              <w:t>JD, ND, David M and JCW</w:t>
            </w:r>
          </w:p>
        </w:tc>
      </w:tr>
    </w:tbl>
    <w:p w:rsidR="00E80668" w:rsidRDefault="00E80668" w:rsidP="007966A5">
      <w:pPr>
        <w:rPr>
          <w:color w:val="2E74B5" w:themeColor="accent1" w:themeShade="BF"/>
        </w:rPr>
      </w:pPr>
    </w:p>
    <w:p w:rsidR="0062365C" w:rsidRDefault="0062365C" w:rsidP="0062365C">
      <w:pPr>
        <w:pStyle w:val="ListParagraph"/>
      </w:pPr>
    </w:p>
    <w:p w:rsidR="000F2A76" w:rsidRDefault="000F2A76" w:rsidP="0062365C">
      <w:pPr>
        <w:pStyle w:val="ListParagraph"/>
      </w:pPr>
    </w:p>
    <w:p w:rsidR="000F2A76" w:rsidRDefault="000F2A76" w:rsidP="0062365C">
      <w:pPr>
        <w:pStyle w:val="ListParagraph"/>
      </w:pPr>
    </w:p>
    <w:sectPr w:rsidR="000F2A76" w:rsidSect="00652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42" w:rsidRDefault="00B15F42" w:rsidP="00663E38">
      <w:pPr>
        <w:spacing w:after="0" w:line="240" w:lineRule="auto"/>
      </w:pPr>
      <w:r>
        <w:separator/>
      </w:r>
    </w:p>
  </w:endnote>
  <w:endnote w:type="continuationSeparator" w:id="0">
    <w:p w:rsidR="00B15F42" w:rsidRDefault="00B15F42" w:rsidP="0066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42" w:rsidRDefault="00B15F42" w:rsidP="00663E38">
      <w:pPr>
        <w:spacing w:after="0" w:line="240" w:lineRule="auto"/>
      </w:pPr>
      <w:r>
        <w:separator/>
      </w:r>
    </w:p>
  </w:footnote>
  <w:footnote w:type="continuationSeparator" w:id="0">
    <w:p w:rsidR="00B15F42" w:rsidRDefault="00B15F42" w:rsidP="00663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577A9"/>
    <w:multiLevelType w:val="multilevel"/>
    <w:tmpl w:val="E1C26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8406BC"/>
    <w:multiLevelType w:val="hybridMultilevel"/>
    <w:tmpl w:val="12CC6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2260"/>
    <w:multiLevelType w:val="hybridMultilevel"/>
    <w:tmpl w:val="A7E6A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71C6"/>
    <w:multiLevelType w:val="hybridMultilevel"/>
    <w:tmpl w:val="FB188CB6"/>
    <w:lvl w:ilvl="0" w:tplc="9D262D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23"/>
    <w:rsid w:val="00000509"/>
    <w:rsid w:val="0001076E"/>
    <w:rsid w:val="00036CAD"/>
    <w:rsid w:val="000A6B65"/>
    <w:rsid w:val="000B5C96"/>
    <w:rsid w:val="000F2A76"/>
    <w:rsid w:val="00156829"/>
    <w:rsid w:val="00174A1E"/>
    <w:rsid w:val="0022238A"/>
    <w:rsid w:val="00252100"/>
    <w:rsid w:val="002A0C22"/>
    <w:rsid w:val="002B6B0B"/>
    <w:rsid w:val="002F03B4"/>
    <w:rsid w:val="00332AF8"/>
    <w:rsid w:val="0034266A"/>
    <w:rsid w:val="00342A9C"/>
    <w:rsid w:val="003460D8"/>
    <w:rsid w:val="00374693"/>
    <w:rsid w:val="003A70FB"/>
    <w:rsid w:val="003A7534"/>
    <w:rsid w:val="004158F5"/>
    <w:rsid w:val="00426334"/>
    <w:rsid w:val="004344DF"/>
    <w:rsid w:val="004653BC"/>
    <w:rsid w:val="00467A43"/>
    <w:rsid w:val="004D7E0B"/>
    <w:rsid w:val="004F4832"/>
    <w:rsid w:val="00524D7F"/>
    <w:rsid w:val="00551BB2"/>
    <w:rsid w:val="0055698F"/>
    <w:rsid w:val="005B537E"/>
    <w:rsid w:val="005C10C1"/>
    <w:rsid w:val="005F5F7A"/>
    <w:rsid w:val="0062365C"/>
    <w:rsid w:val="00625EE0"/>
    <w:rsid w:val="006327B9"/>
    <w:rsid w:val="006343F0"/>
    <w:rsid w:val="0064068A"/>
    <w:rsid w:val="00644BDF"/>
    <w:rsid w:val="006529DB"/>
    <w:rsid w:val="00663E38"/>
    <w:rsid w:val="00690FA0"/>
    <w:rsid w:val="00704FD4"/>
    <w:rsid w:val="007966A5"/>
    <w:rsid w:val="007B2ACD"/>
    <w:rsid w:val="008533DA"/>
    <w:rsid w:val="008662BC"/>
    <w:rsid w:val="008F377D"/>
    <w:rsid w:val="00923B60"/>
    <w:rsid w:val="0096242B"/>
    <w:rsid w:val="009664AA"/>
    <w:rsid w:val="00970A3A"/>
    <w:rsid w:val="0097315B"/>
    <w:rsid w:val="00984062"/>
    <w:rsid w:val="00995533"/>
    <w:rsid w:val="009D06DC"/>
    <w:rsid w:val="00A223B0"/>
    <w:rsid w:val="00A26AE5"/>
    <w:rsid w:val="00A944A1"/>
    <w:rsid w:val="00AC30FB"/>
    <w:rsid w:val="00AD7D8F"/>
    <w:rsid w:val="00AF21EC"/>
    <w:rsid w:val="00AF4F75"/>
    <w:rsid w:val="00B15F42"/>
    <w:rsid w:val="00B302B5"/>
    <w:rsid w:val="00B460E8"/>
    <w:rsid w:val="00B82A56"/>
    <w:rsid w:val="00BB0A4A"/>
    <w:rsid w:val="00BE556F"/>
    <w:rsid w:val="00BF6119"/>
    <w:rsid w:val="00C00FC4"/>
    <w:rsid w:val="00C0669F"/>
    <w:rsid w:val="00C1177B"/>
    <w:rsid w:val="00C37823"/>
    <w:rsid w:val="00C53039"/>
    <w:rsid w:val="00C7295A"/>
    <w:rsid w:val="00C87D79"/>
    <w:rsid w:val="00C91A31"/>
    <w:rsid w:val="00CE22A7"/>
    <w:rsid w:val="00CE33BD"/>
    <w:rsid w:val="00CF53E7"/>
    <w:rsid w:val="00D109A4"/>
    <w:rsid w:val="00D25811"/>
    <w:rsid w:val="00D97446"/>
    <w:rsid w:val="00DA0951"/>
    <w:rsid w:val="00DA1A68"/>
    <w:rsid w:val="00DD0A0D"/>
    <w:rsid w:val="00DF394D"/>
    <w:rsid w:val="00E04BF5"/>
    <w:rsid w:val="00E07FBA"/>
    <w:rsid w:val="00E25698"/>
    <w:rsid w:val="00E50A98"/>
    <w:rsid w:val="00E73729"/>
    <w:rsid w:val="00E80668"/>
    <w:rsid w:val="00EA15FB"/>
    <w:rsid w:val="00EA61ED"/>
    <w:rsid w:val="00EB3AE2"/>
    <w:rsid w:val="00EE3141"/>
    <w:rsid w:val="00F168BB"/>
    <w:rsid w:val="00F328B1"/>
    <w:rsid w:val="00F54CBD"/>
    <w:rsid w:val="00F612B4"/>
    <w:rsid w:val="00F61347"/>
    <w:rsid w:val="00F639DC"/>
    <w:rsid w:val="00F94445"/>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B97B0-BACB-478E-80CA-F36933C9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823"/>
    <w:pPr>
      <w:ind w:left="720"/>
      <w:contextualSpacing/>
    </w:pPr>
  </w:style>
  <w:style w:type="paragraph" w:styleId="Header">
    <w:name w:val="header"/>
    <w:basedOn w:val="Normal"/>
    <w:link w:val="HeaderChar"/>
    <w:uiPriority w:val="99"/>
    <w:unhideWhenUsed/>
    <w:rsid w:val="00663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E38"/>
  </w:style>
  <w:style w:type="paragraph" w:styleId="Footer">
    <w:name w:val="footer"/>
    <w:basedOn w:val="Normal"/>
    <w:link w:val="FooterChar"/>
    <w:uiPriority w:val="99"/>
    <w:unhideWhenUsed/>
    <w:rsid w:val="00663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E38"/>
  </w:style>
  <w:style w:type="paragraph" w:styleId="BalloonText">
    <w:name w:val="Balloon Text"/>
    <w:basedOn w:val="Normal"/>
    <w:link w:val="BalloonTextChar"/>
    <w:uiPriority w:val="99"/>
    <w:semiHidden/>
    <w:unhideWhenUsed/>
    <w:rsid w:val="00FF4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4E0"/>
    <w:rPr>
      <w:rFonts w:ascii="Segoe UI" w:hAnsi="Segoe UI" w:cs="Segoe UI"/>
      <w:sz w:val="18"/>
      <w:szCs w:val="18"/>
    </w:rPr>
  </w:style>
  <w:style w:type="paragraph" w:styleId="NormalWeb">
    <w:name w:val="Normal (Web)"/>
    <w:basedOn w:val="Normal"/>
    <w:uiPriority w:val="99"/>
    <w:semiHidden/>
    <w:unhideWhenUsed/>
    <w:rsid w:val="00252100"/>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B460E8"/>
    <w:pPr>
      <w:spacing w:line="240" w:lineRule="auto"/>
    </w:pPr>
    <w:rPr>
      <w:sz w:val="20"/>
      <w:szCs w:val="20"/>
    </w:rPr>
  </w:style>
  <w:style w:type="character" w:customStyle="1" w:styleId="CommentTextChar">
    <w:name w:val="Comment Text Char"/>
    <w:basedOn w:val="DefaultParagraphFont"/>
    <w:link w:val="CommentText"/>
    <w:uiPriority w:val="99"/>
    <w:semiHidden/>
    <w:rsid w:val="00B460E8"/>
    <w:rPr>
      <w:sz w:val="20"/>
      <w:szCs w:val="20"/>
    </w:rPr>
  </w:style>
  <w:style w:type="table" w:styleId="TableGrid">
    <w:name w:val="Table Grid"/>
    <w:basedOn w:val="TableNormal"/>
    <w:uiPriority w:val="39"/>
    <w:rsid w:val="002A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4590">
      <w:bodyDiv w:val="1"/>
      <w:marLeft w:val="0"/>
      <w:marRight w:val="0"/>
      <w:marTop w:val="0"/>
      <w:marBottom w:val="0"/>
      <w:divBdr>
        <w:top w:val="none" w:sz="0" w:space="0" w:color="auto"/>
        <w:left w:val="none" w:sz="0" w:space="0" w:color="auto"/>
        <w:bottom w:val="none" w:sz="0" w:space="0" w:color="auto"/>
        <w:right w:val="none" w:sz="0" w:space="0" w:color="auto"/>
      </w:divBdr>
    </w:div>
    <w:div w:id="378554368">
      <w:bodyDiv w:val="1"/>
      <w:marLeft w:val="0"/>
      <w:marRight w:val="0"/>
      <w:marTop w:val="0"/>
      <w:marBottom w:val="0"/>
      <w:divBdr>
        <w:top w:val="none" w:sz="0" w:space="0" w:color="auto"/>
        <w:left w:val="none" w:sz="0" w:space="0" w:color="auto"/>
        <w:bottom w:val="none" w:sz="0" w:space="0" w:color="auto"/>
        <w:right w:val="none" w:sz="0" w:space="0" w:color="auto"/>
      </w:divBdr>
    </w:div>
    <w:div w:id="483739579">
      <w:bodyDiv w:val="1"/>
      <w:marLeft w:val="0"/>
      <w:marRight w:val="0"/>
      <w:marTop w:val="0"/>
      <w:marBottom w:val="0"/>
      <w:divBdr>
        <w:top w:val="none" w:sz="0" w:space="0" w:color="auto"/>
        <w:left w:val="none" w:sz="0" w:space="0" w:color="auto"/>
        <w:bottom w:val="none" w:sz="0" w:space="0" w:color="auto"/>
        <w:right w:val="none" w:sz="0" w:space="0" w:color="auto"/>
      </w:divBdr>
    </w:div>
    <w:div w:id="683046668">
      <w:bodyDiv w:val="1"/>
      <w:marLeft w:val="0"/>
      <w:marRight w:val="0"/>
      <w:marTop w:val="0"/>
      <w:marBottom w:val="0"/>
      <w:divBdr>
        <w:top w:val="none" w:sz="0" w:space="0" w:color="auto"/>
        <w:left w:val="none" w:sz="0" w:space="0" w:color="auto"/>
        <w:bottom w:val="none" w:sz="0" w:space="0" w:color="auto"/>
        <w:right w:val="none" w:sz="0" w:space="0" w:color="auto"/>
      </w:divBdr>
    </w:div>
    <w:div w:id="12372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175B1-623A-419A-8AB4-4B621DFE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 Lundin x2826 15592N</dc:creator>
  <cp:keywords/>
  <dc:description/>
  <cp:lastModifiedBy>Tracy K. Lundin x2826 15592N</cp:lastModifiedBy>
  <cp:revision>3</cp:revision>
  <cp:lastPrinted>2016-04-04T15:32:00Z</cp:lastPrinted>
  <dcterms:created xsi:type="dcterms:W3CDTF">2016-04-04T15:34:00Z</dcterms:created>
  <dcterms:modified xsi:type="dcterms:W3CDTF">2016-04-04T15:48:00Z</dcterms:modified>
</cp:coreProperties>
</file>