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E14FC" w14:textId="5EA3B516" w:rsidR="00165665" w:rsidRDefault="006800B7" w:rsidP="00165665">
      <w:pPr>
        <w:pStyle w:val="Heading1"/>
      </w:pPr>
      <w:r>
        <w:t>201</w:t>
      </w:r>
      <w:r w:rsidR="006D19E8">
        <w:t>6</w:t>
      </w:r>
      <w:r w:rsidR="00264CF8">
        <w:t xml:space="preserve"> </w:t>
      </w:r>
      <w:r>
        <w:t>A</w:t>
      </w:r>
      <w:r w:rsidR="00264CF8">
        <w:t>vailability</w:t>
      </w:r>
      <w:r>
        <w:t xml:space="preserve"> SUMMARY</w:t>
      </w:r>
    </w:p>
    <w:p w14:paraId="3667E941" w14:textId="0B34C336" w:rsidR="00165665" w:rsidRPr="000D5EEA" w:rsidRDefault="00264CF8" w:rsidP="00165665">
      <w:pPr>
        <w:pStyle w:val="AuthorList"/>
        <w:rPr>
          <w:kern w:val="16"/>
          <w:lang w:val="en-US"/>
        </w:rPr>
        <w:sectPr w:rsidR="00165665" w:rsidRPr="000D5EEA" w:rsidSect="00074A20">
          <w:footnotePr>
            <w:pos w:val="beneathText"/>
            <w:numFmt w:val="chicago"/>
          </w:footnotePr>
          <w:endnotePr>
            <w:numFmt w:val="decimal"/>
          </w:endnotePr>
          <w:type w:val="continuous"/>
          <w:pgSz w:w="11907" w:h="16840" w:code="9"/>
          <w:pgMar w:top="2098" w:right="1134" w:bottom="1077" w:left="1134" w:header="1077" w:footer="1077" w:gutter="0"/>
          <w:cols w:space="720"/>
          <w:titlePg/>
          <w:docGrid w:linePitch="360"/>
        </w:sectPr>
      </w:pPr>
      <w:r w:rsidRPr="000D5EEA">
        <w:rPr>
          <w:kern w:val="16"/>
          <w:lang w:val="en-US"/>
        </w:rPr>
        <w:t>A</w:t>
      </w:r>
      <w:r w:rsidR="009E026B" w:rsidRPr="000D5EEA">
        <w:rPr>
          <w:kern w:val="16"/>
          <w:lang w:val="en-US"/>
        </w:rPr>
        <w:t xml:space="preserve">. </w:t>
      </w:r>
      <w:r w:rsidRPr="000D5EEA">
        <w:rPr>
          <w:kern w:val="16"/>
          <w:lang w:val="en-US"/>
        </w:rPr>
        <w:t>Apollonio</w:t>
      </w:r>
      <w:r w:rsidR="00165665" w:rsidRPr="000D5EEA">
        <w:rPr>
          <w:kern w:val="16"/>
          <w:lang w:val="en-US"/>
        </w:rPr>
        <w:t>,</w:t>
      </w:r>
      <w:r w:rsidRPr="000D5EEA">
        <w:rPr>
          <w:kern w:val="16"/>
          <w:lang w:val="en-US"/>
        </w:rPr>
        <w:t xml:space="preserve"> </w:t>
      </w:r>
      <w:r w:rsidR="006800B7" w:rsidRPr="000D5EEA">
        <w:rPr>
          <w:kern w:val="16"/>
          <w:lang w:val="en-US"/>
        </w:rPr>
        <w:t>L. Ponce</w:t>
      </w:r>
      <w:r w:rsidRPr="000D5EEA">
        <w:rPr>
          <w:kern w:val="16"/>
          <w:lang w:val="en-US"/>
        </w:rPr>
        <w:t>,</w:t>
      </w:r>
      <w:r w:rsidR="00D479CD" w:rsidRPr="000D5EEA">
        <w:rPr>
          <w:kern w:val="16"/>
          <w:lang w:val="en-US"/>
        </w:rPr>
        <w:t xml:space="preserve"> C. Roderick,</w:t>
      </w:r>
      <w:r w:rsidRPr="000D5EEA">
        <w:rPr>
          <w:kern w:val="16"/>
          <w:lang w:val="en-US"/>
        </w:rPr>
        <w:t xml:space="preserve"> </w:t>
      </w:r>
      <w:r w:rsidR="006800B7" w:rsidRPr="000D5EEA">
        <w:rPr>
          <w:kern w:val="16"/>
          <w:lang w:val="en-US"/>
        </w:rPr>
        <w:t>R. Schmidt,</w:t>
      </w:r>
      <w:r w:rsidR="006D7A49" w:rsidRPr="000D5EEA">
        <w:rPr>
          <w:kern w:val="16"/>
          <w:lang w:val="en-US"/>
        </w:rPr>
        <w:t xml:space="preserve"> </w:t>
      </w:r>
      <w:r w:rsidR="006800B7" w:rsidRPr="000D5EEA">
        <w:rPr>
          <w:kern w:val="16"/>
          <w:lang w:val="en-US"/>
        </w:rPr>
        <w:t>B</w:t>
      </w:r>
      <w:r w:rsidRPr="000D5EEA">
        <w:rPr>
          <w:kern w:val="16"/>
          <w:lang w:val="en-US"/>
        </w:rPr>
        <w:t xml:space="preserve">. </w:t>
      </w:r>
      <w:r w:rsidR="006800B7" w:rsidRPr="000D5EEA">
        <w:rPr>
          <w:kern w:val="16"/>
          <w:lang w:val="en-US"/>
        </w:rPr>
        <w:t>Todd</w:t>
      </w:r>
      <w:r w:rsidRPr="000D5EEA">
        <w:rPr>
          <w:kern w:val="16"/>
          <w:lang w:val="en-US"/>
        </w:rPr>
        <w:t>,</w:t>
      </w:r>
      <w:r w:rsidR="006800B7" w:rsidRPr="000D5EEA">
        <w:rPr>
          <w:kern w:val="16"/>
          <w:lang w:val="en-US"/>
        </w:rPr>
        <w:t xml:space="preserve"> </w:t>
      </w:r>
      <w:r w:rsidR="009C1C6E" w:rsidRPr="000D5EEA">
        <w:rPr>
          <w:kern w:val="16"/>
          <w:lang w:val="en-US"/>
        </w:rPr>
        <w:t xml:space="preserve">M. Zerlauth, </w:t>
      </w:r>
      <w:r w:rsidR="00165665" w:rsidRPr="000D5EEA">
        <w:rPr>
          <w:kern w:val="16"/>
          <w:lang w:val="en-US"/>
        </w:rPr>
        <w:t xml:space="preserve">CERN, Geneva, </w:t>
      </w:r>
      <w:r w:rsidR="00165665" w:rsidRPr="000D5EEA">
        <w:rPr>
          <w:lang w:val="en-US"/>
        </w:rPr>
        <w:t>Switzerland</w:t>
      </w:r>
      <w:r w:rsidR="00CB7552" w:rsidRPr="000D5EEA">
        <w:rPr>
          <w:lang w:val="en-US"/>
        </w:rPr>
        <w:t>.</w:t>
      </w:r>
    </w:p>
    <w:p w14:paraId="4B6C370F" w14:textId="77777777" w:rsidR="00165665" w:rsidRPr="000D5EEA" w:rsidRDefault="00165665" w:rsidP="00165665">
      <w:pPr>
        <w:pStyle w:val="AbstractTitle"/>
        <w:rPr>
          <w:kern w:val="16"/>
          <w:lang w:val="en-US"/>
        </w:rPr>
      </w:pPr>
      <w:r w:rsidRPr="000D5EEA">
        <w:rPr>
          <w:kern w:val="16"/>
          <w:lang w:val="en-US"/>
        </w:rPr>
        <w:t>Abstract</w:t>
      </w:r>
    </w:p>
    <w:p w14:paraId="34AA7B45" w14:textId="26FE5ECA" w:rsidR="00264CF8" w:rsidRPr="006D19E8" w:rsidRDefault="006D19E8" w:rsidP="00264CF8">
      <w:pPr>
        <w:pStyle w:val="BodyTextIndent"/>
      </w:pPr>
      <w:r w:rsidRPr="006D19E8">
        <w:rPr>
          <w:shd w:val="clear" w:color="auto" w:fill="FFFFFF"/>
        </w:rPr>
        <w:t>The LHC exhibited unprecedented availability during the 2016 proton run, producing more than 40 fb</w:t>
      </w:r>
      <w:r w:rsidRPr="006D19E8">
        <w:rPr>
          <w:shd w:val="clear" w:color="auto" w:fill="FFFFFF"/>
          <w:vertAlign w:val="superscript"/>
        </w:rPr>
        <w:t>-1</w:t>
      </w:r>
      <w:r w:rsidRPr="006D19E8">
        <w:rPr>
          <w:shd w:val="clear" w:color="auto" w:fill="FFFFFF"/>
        </w:rPr>
        <w:t xml:space="preserve"> of integrated luminosity, significantly above the original target of 25 fb</w:t>
      </w:r>
      <w:r w:rsidRPr="006D19E8">
        <w:rPr>
          <w:shd w:val="clear" w:color="auto" w:fill="FFFFFF"/>
          <w:vertAlign w:val="superscript"/>
        </w:rPr>
        <w:t>-1</w:t>
      </w:r>
      <w:r w:rsidRPr="006D19E8">
        <w:rPr>
          <w:shd w:val="clear" w:color="auto" w:fill="FFFFFF"/>
        </w:rPr>
        <w:t>. This was achieved while running steadily with a peak luminosi</w:t>
      </w:r>
      <w:r>
        <w:rPr>
          <w:shd w:val="clear" w:color="auto" w:fill="FFFFFF"/>
        </w:rPr>
        <w:t>ty above the design target of 1*10</w:t>
      </w:r>
      <w:r w:rsidRPr="006D19E8">
        <w:rPr>
          <w:shd w:val="clear" w:color="auto" w:fill="FFFFFF"/>
          <w:vertAlign w:val="superscript"/>
        </w:rPr>
        <w:t>34</w:t>
      </w:r>
      <w:r w:rsidRPr="006D19E8">
        <w:rPr>
          <w:shd w:val="clear" w:color="auto" w:fill="FFFFFF"/>
        </w:rPr>
        <w:t xml:space="preserve"> cm</w:t>
      </w:r>
      <w:r w:rsidRPr="006D19E8">
        <w:rPr>
          <w:shd w:val="clear" w:color="auto" w:fill="FFFFFF"/>
          <w:vertAlign w:val="superscript"/>
        </w:rPr>
        <w:t>-2</w:t>
      </w:r>
      <w:r w:rsidRPr="006D19E8">
        <w:rPr>
          <w:shd w:val="clear" w:color="auto" w:fill="FFFFFF"/>
        </w:rPr>
        <w:t>s</w:t>
      </w:r>
      <w:r w:rsidRPr="006D19E8">
        <w:rPr>
          <w:shd w:val="clear" w:color="auto" w:fill="FFFFFF"/>
          <w:vertAlign w:val="superscript"/>
        </w:rPr>
        <w:t>-1</w:t>
      </w:r>
      <w:r w:rsidRPr="006D19E8">
        <w:rPr>
          <w:shd w:val="clear" w:color="auto" w:fill="FFFFFF"/>
        </w:rPr>
        <w:t xml:space="preserve">. Individual system performance and an increased experience with the machine were fundamental to achieve these goals, following the consolidations and improvements deployed during the Long Shutdown 1 and the Year End Technical </w:t>
      </w:r>
      <w:r w:rsidR="00A35779">
        <w:rPr>
          <w:shd w:val="clear" w:color="auto" w:fill="FFFFFF"/>
        </w:rPr>
        <w:t>S</w:t>
      </w:r>
      <w:r w:rsidR="00A35779" w:rsidRPr="006D19E8">
        <w:rPr>
          <w:shd w:val="clear" w:color="auto" w:fill="FFFFFF"/>
        </w:rPr>
        <w:t xml:space="preserve">top </w:t>
      </w:r>
      <w:r w:rsidRPr="006D19E8">
        <w:rPr>
          <w:shd w:val="clear" w:color="auto" w:fill="FFFFFF"/>
        </w:rPr>
        <w:t>in 2015</w:t>
      </w:r>
      <w:r w:rsidR="00A35779">
        <w:rPr>
          <w:shd w:val="clear" w:color="auto" w:fill="FFFFFF"/>
        </w:rPr>
        <w:t xml:space="preserve"> (YETS 15-16)</w:t>
      </w:r>
      <w:r w:rsidRPr="006D19E8">
        <w:rPr>
          <w:shd w:val="clear" w:color="auto" w:fill="FFFFFF"/>
        </w:rPr>
        <w:t xml:space="preserve">. In this </w:t>
      </w:r>
      <w:r w:rsidR="00F72A43" w:rsidRPr="006D19E8">
        <w:rPr>
          <w:shd w:val="clear" w:color="auto" w:fill="FFFFFF"/>
        </w:rPr>
        <w:t>presentation,</w:t>
      </w:r>
      <w:r w:rsidRPr="006D19E8">
        <w:rPr>
          <w:shd w:val="clear" w:color="auto" w:fill="FFFFFF"/>
        </w:rPr>
        <w:t xml:space="preserve"> the 2016 LHC availability statistics for the proton run are presented and discussed, with a focus on the </w:t>
      </w:r>
      <w:r w:rsidR="00A35779">
        <w:rPr>
          <w:shd w:val="clear" w:color="auto" w:fill="FFFFFF"/>
        </w:rPr>
        <w:t>main</w:t>
      </w:r>
      <w:r w:rsidR="00A35779" w:rsidRPr="006D19E8">
        <w:rPr>
          <w:shd w:val="clear" w:color="auto" w:fill="FFFFFF"/>
        </w:rPr>
        <w:t xml:space="preserve"> </w:t>
      </w:r>
      <w:r w:rsidRPr="006D19E8">
        <w:rPr>
          <w:shd w:val="clear" w:color="auto" w:fill="FFFFFF"/>
        </w:rPr>
        <w:t>contributors to downtime</w:t>
      </w:r>
      <w:r w:rsidR="00BC6B84" w:rsidRPr="006D19E8">
        <w:t>.</w:t>
      </w:r>
      <w:r w:rsidR="00264CF8" w:rsidRPr="006D19E8">
        <w:t xml:space="preserve">  </w:t>
      </w:r>
    </w:p>
    <w:p w14:paraId="0B47C2D6" w14:textId="4C759C5E" w:rsidR="00165665" w:rsidRDefault="00691578" w:rsidP="00165665">
      <w:pPr>
        <w:pStyle w:val="Heading2"/>
        <w:spacing w:before="180"/>
      </w:pPr>
      <w:r>
        <w:t>INTRODUCTION</w:t>
      </w:r>
    </w:p>
    <w:p w14:paraId="5B0A4B21" w14:textId="6FFB2219" w:rsidR="00250F3B" w:rsidRDefault="00067B33" w:rsidP="00076528">
      <w:pPr>
        <w:pStyle w:val="BodyTextIndent"/>
      </w:pPr>
      <w:r>
        <w:t>The A</w:t>
      </w:r>
      <w:r w:rsidR="00441A6D">
        <w:t xml:space="preserve">ccelerator </w:t>
      </w:r>
      <w:r>
        <w:t>F</w:t>
      </w:r>
      <w:r w:rsidR="00441A6D">
        <w:t xml:space="preserve">ault </w:t>
      </w:r>
      <w:r>
        <w:t>T</w:t>
      </w:r>
      <w:r w:rsidR="00441A6D">
        <w:t>racker (AFT)</w:t>
      </w:r>
      <w:r>
        <w:t xml:space="preserve"> was released at the beginning of the 2015 LHC Run, allowing systematic and consi</w:t>
      </w:r>
      <w:r w:rsidR="00250F3B">
        <w:t xml:space="preserve">stent LHC fault tracking </w:t>
      </w:r>
      <w:r w:rsidR="007E2DC3">
        <w:t>in 2015 and 2016</w:t>
      </w:r>
      <w:r w:rsidR="00250F3B">
        <w:t>.</w:t>
      </w:r>
      <w:r w:rsidR="002D518F">
        <w:t xml:space="preserve"> </w:t>
      </w:r>
      <w:r w:rsidR="007C3C7E">
        <w:t xml:space="preserve">The fault review procedure was </w:t>
      </w:r>
      <w:r w:rsidR="007E2DC3">
        <w:t xml:space="preserve">further </w:t>
      </w:r>
      <w:r w:rsidR="007C3C7E">
        <w:t>streamlined in 2016</w:t>
      </w:r>
      <w:r w:rsidR="007E2DC3">
        <w:t xml:space="preserve"> to allow for</w:t>
      </w:r>
      <w:r w:rsidR="00691578">
        <w:t xml:space="preserve"> a</w:t>
      </w:r>
      <w:r w:rsidR="007E2DC3">
        <w:t xml:space="preserve"> direct interface of system experts with the AFT. As a result,</w:t>
      </w:r>
      <w:r w:rsidR="007C3C7E">
        <w:t xml:space="preserve"> system experts actively participated in the fault review throughout the year, validating entries created by the LHC operations team and the core members of the availability working group.</w:t>
      </w:r>
      <w:r w:rsidR="007E2DC3">
        <w:t xml:space="preserve"> Before each of the three technical stops, the data </w:t>
      </w:r>
      <w:r w:rsidR="00A35779">
        <w:t xml:space="preserve">collected was </w:t>
      </w:r>
      <w:r w:rsidR="007E2DC3">
        <w:t>validated in a meeting of the Availability Worki</w:t>
      </w:r>
      <w:r w:rsidR="00EF723D">
        <w:t>ng Group and the results publish</w:t>
      </w:r>
      <w:r w:rsidR="007E2DC3">
        <w:t>ed in dedicated technical notes [1][2][3]</w:t>
      </w:r>
      <w:r w:rsidR="00EF723D">
        <w:t>[4]</w:t>
      </w:r>
      <w:r w:rsidR="007E2DC3">
        <w:t>.</w:t>
      </w:r>
      <w:r w:rsidR="007C3C7E">
        <w:t xml:space="preserve"> </w:t>
      </w:r>
      <w:r w:rsidR="00D479CD">
        <w:t>R</w:t>
      </w:r>
      <w:r w:rsidR="002D518F">
        <w:t xml:space="preserve">esults presented in this paper </w:t>
      </w:r>
      <w:r w:rsidR="007E2DC3">
        <w:t>summarize the results of these analyses</w:t>
      </w:r>
      <w:r w:rsidR="00691578">
        <w:t xml:space="preserve"> for the proton run</w:t>
      </w:r>
      <w:r w:rsidR="002D518F">
        <w:t>.</w:t>
      </w:r>
    </w:p>
    <w:p w14:paraId="46F9CA75" w14:textId="77777777" w:rsidR="00426B6F" w:rsidRDefault="00426B6F" w:rsidP="00426B6F">
      <w:pPr>
        <w:pStyle w:val="BodyTextIndent"/>
        <w:ind w:firstLine="0"/>
        <w:jc w:val="center"/>
        <w:rPr>
          <w:kern w:val="16"/>
        </w:rPr>
      </w:pPr>
    </w:p>
    <w:p w14:paraId="1EB7749B" w14:textId="3814322A" w:rsidR="00426B6F" w:rsidRDefault="00426B6F" w:rsidP="00426B6F">
      <w:pPr>
        <w:pStyle w:val="BodyTextIndent"/>
        <w:ind w:firstLine="0"/>
        <w:jc w:val="center"/>
        <w:rPr>
          <w:bCs/>
          <w:kern w:val="16"/>
        </w:rPr>
      </w:pPr>
      <w:r w:rsidRPr="009D44FA">
        <w:rPr>
          <w:kern w:val="16"/>
        </w:rPr>
        <w:t xml:space="preserve">Table 1: </w:t>
      </w:r>
      <w:r w:rsidR="00296364">
        <w:rPr>
          <w:kern w:val="16"/>
        </w:rPr>
        <w:t>2016 LHC exploitation</w:t>
      </w:r>
      <w:r w:rsidR="008429F2">
        <w:rPr>
          <w:kern w:val="16"/>
        </w:rPr>
        <w:t xml:space="preserve"> [days]</w:t>
      </w:r>
      <w:r w:rsidR="00296364">
        <w:rPr>
          <w:kern w:val="16"/>
        </w:rPr>
        <w:t>.</w:t>
      </w:r>
    </w:p>
    <w:tbl>
      <w:tblPr>
        <w:tblW w:w="478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6"/>
        <w:gridCol w:w="851"/>
        <w:gridCol w:w="992"/>
        <w:gridCol w:w="992"/>
        <w:gridCol w:w="675"/>
      </w:tblGrid>
      <w:tr w:rsidR="00426B6F" w:rsidRPr="009D44FA" w14:paraId="63FF491D" w14:textId="77777777" w:rsidTr="000D5EEA">
        <w:trPr>
          <w:trHeight w:val="500"/>
        </w:trPr>
        <w:tc>
          <w:tcPr>
            <w:tcW w:w="1276" w:type="dxa"/>
            <w:tcBorders>
              <w:top w:val="single" w:sz="18" w:space="0" w:color="auto"/>
              <w:left w:val="single" w:sz="4" w:space="0" w:color="auto"/>
              <w:bottom w:val="single" w:sz="18" w:space="0" w:color="auto"/>
              <w:right w:val="single" w:sz="4" w:space="0" w:color="auto"/>
            </w:tcBorders>
          </w:tcPr>
          <w:p w14:paraId="7F01238A" w14:textId="312072CF" w:rsidR="00426B6F" w:rsidRPr="00F13086" w:rsidRDefault="00426B6F" w:rsidP="007B1A49">
            <w:pPr>
              <w:pStyle w:val="TableCaption"/>
              <w:rPr>
                <w:b/>
                <w:bCs/>
                <w:kern w:val="16"/>
                <w:sz w:val="16"/>
                <w:szCs w:val="16"/>
              </w:rPr>
            </w:pPr>
          </w:p>
        </w:tc>
        <w:tc>
          <w:tcPr>
            <w:tcW w:w="851" w:type="dxa"/>
            <w:tcBorders>
              <w:top w:val="single" w:sz="18" w:space="0" w:color="auto"/>
              <w:left w:val="single" w:sz="4" w:space="0" w:color="auto"/>
              <w:bottom w:val="single" w:sz="18" w:space="0" w:color="auto"/>
            </w:tcBorders>
          </w:tcPr>
          <w:p w14:paraId="69BD5F0A" w14:textId="7F5DACBA" w:rsidR="00426B6F" w:rsidRPr="00F13086" w:rsidRDefault="008429F2" w:rsidP="00426B6F">
            <w:pPr>
              <w:pStyle w:val="TableCaption"/>
              <w:rPr>
                <w:b/>
                <w:bCs/>
                <w:kern w:val="16"/>
                <w:sz w:val="16"/>
                <w:szCs w:val="16"/>
              </w:rPr>
            </w:pPr>
            <w:r>
              <w:rPr>
                <w:b/>
                <w:bCs/>
                <w:kern w:val="16"/>
                <w:sz w:val="16"/>
                <w:szCs w:val="16"/>
              </w:rPr>
              <w:t>Res</w:t>
            </w:r>
            <w:r w:rsidR="00426B6F" w:rsidRPr="00F13086">
              <w:rPr>
                <w:b/>
                <w:bCs/>
                <w:kern w:val="16"/>
                <w:sz w:val="16"/>
                <w:szCs w:val="16"/>
              </w:rPr>
              <w:t>tart - TS1</w:t>
            </w:r>
            <w:r>
              <w:rPr>
                <w:b/>
                <w:bCs/>
                <w:kern w:val="16"/>
                <w:sz w:val="16"/>
                <w:szCs w:val="16"/>
              </w:rPr>
              <w:t xml:space="preserve"> [d]</w:t>
            </w:r>
          </w:p>
        </w:tc>
        <w:tc>
          <w:tcPr>
            <w:tcW w:w="992" w:type="dxa"/>
            <w:tcBorders>
              <w:top w:val="single" w:sz="18" w:space="0" w:color="auto"/>
              <w:bottom w:val="single" w:sz="18" w:space="0" w:color="auto"/>
            </w:tcBorders>
          </w:tcPr>
          <w:p w14:paraId="20F3F0DB" w14:textId="47B85687" w:rsidR="00426B6F" w:rsidRPr="00F13086" w:rsidRDefault="00426B6F" w:rsidP="00426B6F">
            <w:pPr>
              <w:pStyle w:val="TableCaption"/>
              <w:rPr>
                <w:b/>
                <w:bCs/>
                <w:kern w:val="16"/>
                <w:sz w:val="16"/>
                <w:szCs w:val="16"/>
              </w:rPr>
            </w:pPr>
            <w:r w:rsidRPr="00F13086">
              <w:rPr>
                <w:b/>
                <w:bCs/>
                <w:kern w:val="16"/>
                <w:sz w:val="16"/>
                <w:szCs w:val="16"/>
              </w:rPr>
              <w:t>TS1 – TS2</w:t>
            </w:r>
            <w:r w:rsidR="008429F2">
              <w:rPr>
                <w:b/>
                <w:bCs/>
                <w:kern w:val="16"/>
                <w:sz w:val="16"/>
                <w:szCs w:val="16"/>
              </w:rPr>
              <w:t xml:space="preserve"> [d]</w:t>
            </w:r>
          </w:p>
        </w:tc>
        <w:tc>
          <w:tcPr>
            <w:tcW w:w="992" w:type="dxa"/>
            <w:tcBorders>
              <w:top w:val="single" w:sz="18" w:space="0" w:color="auto"/>
              <w:bottom w:val="single" w:sz="18" w:space="0" w:color="auto"/>
              <w:right w:val="single" w:sz="18" w:space="0" w:color="auto"/>
            </w:tcBorders>
          </w:tcPr>
          <w:p w14:paraId="496BBC74" w14:textId="05DC55BC" w:rsidR="00426B6F" w:rsidRPr="00F13086" w:rsidRDefault="00426B6F" w:rsidP="007B1A49">
            <w:pPr>
              <w:pStyle w:val="TableCaption"/>
              <w:rPr>
                <w:b/>
                <w:bCs/>
                <w:kern w:val="16"/>
                <w:sz w:val="16"/>
                <w:szCs w:val="16"/>
              </w:rPr>
            </w:pPr>
            <w:r w:rsidRPr="00F13086">
              <w:rPr>
                <w:b/>
                <w:bCs/>
                <w:kern w:val="16"/>
                <w:sz w:val="16"/>
                <w:szCs w:val="16"/>
              </w:rPr>
              <w:t>TS2 – TS3</w:t>
            </w:r>
            <w:r w:rsidR="008429F2">
              <w:rPr>
                <w:b/>
                <w:bCs/>
                <w:kern w:val="16"/>
                <w:sz w:val="16"/>
                <w:szCs w:val="16"/>
              </w:rPr>
              <w:t xml:space="preserve"> [d]</w:t>
            </w:r>
          </w:p>
        </w:tc>
        <w:tc>
          <w:tcPr>
            <w:tcW w:w="675" w:type="dxa"/>
            <w:tcBorders>
              <w:top w:val="single" w:sz="18" w:space="0" w:color="auto"/>
              <w:left w:val="single" w:sz="18" w:space="0" w:color="auto"/>
              <w:bottom w:val="single" w:sz="18" w:space="0" w:color="auto"/>
            </w:tcBorders>
          </w:tcPr>
          <w:p w14:paraId="45297F23" w14:textId="70D1B4DB" w:rsidR="00426B6F" w:rsidRPr="00F13086" w:rsidRDefault="00426B6F" w:rsidP="007B1A49">
            <w:pPr>
              <w:pStyle w:val="TableCaption"/>
              <w:rPr>
                <w:b/>
                <w:bCs/>
                <w:kern w:val="16"/>
                <w:sz w:val="16"/>
                <w:szCs w:val="16"/>
              </w:rPr>
            </w:pPr>
            <w:r w:rsidRPr="00F13086">
              <w:rPr>
                <w:b/>
                <w:bCs/>
                <w:kern w:val="16"/>
                <w:sz w:val="16"/>
                <w:szCs w:val="16"/>
              </w:rPr>
              <w:t>Total</w:t>
            </w:r>
            <w:r w:rsidR="008429F2">
              <w:rPr>
                <w:b/>
                <w:bCs/>
                <w:kern w:val="16"/>
                <w:sz w:val="16"/>
                <w:szCs w:val="16"/>
              </w:rPr>
              <w:t xml:space="preserve"> [d]</w:t>
            </w:r>
          </w:p>
        </w:tc>
      </w:tr>
      <w:tr w:rsidR="00426B6F" w:rsidRPr="009D44FA" w14:paraId="5CDB7EF5" w14:textId="77777777" w:rsidTr="000D5EEA">
        <w:trPr>
          <w:trHeight w:val="151"/>
        </w:trPr>
        <w:tc>
          <w:tcPr>
            <w:tcW w:w="1276" w:type="dxa"/>
            <w:tcBorders>
              <w:top w:val="single" w:sz="18" w:space="0" w:color="auto"/>
              <w:left w:val="single" w:sz="4" w:space="0" w:color="auto"/>
              <w:bottom w:val="single" w:sz="4" w:space="0" w:color="auto"/>
              <w:right w:val="single" w:sz="4" w:space="0" w:color="auto"/>
            </w:tcBorders>
          </w:tcPr>
          <w:p w14:paraId="53A4D0D9" w14:textId="1959AD5F" w:rsidR="00426B6F" w:rsidRPr="00F13086" w:rsidRDefault="00426B6F" w:rsidP="007B1A49">
            <w:pPr>
              <w:pStyle w:val="TableCaption"/>
              <w:jc w:val="left"/>
              <w:rPr>
                <w:kern w:val="16"/>
                <w:sz w:val="16"/>
                <w:szCs w:val="16"/>
              </w:rPr>
            </w:pPr>
            <w:r w:rsidRPr="00F13086">
              <w:rPr>
                <w:kern w:val="16"/>
                <w:sz w:val="16"/>
                <w:szCs w:val="16"/>
              </w:rPr>
              <w:t>Beam Commissioning</w:t>
            </w:r>
          </w:p>
        </w:tc>
        <w:tc>
          <w:tcPr>
            <w:tcW w:w="851" w:type="dxa"/>
            <w:tcBorders>
              <w:top w:val="single" w:sz="18" w:space="0" w:color="auto"/>
              <w:left w:val="single" w:sz="4" w:space="0" w:color="auto"/>
              <w:bottom w:val="single" w:sz="4" w:space="0" w:color="auto"/>
            </w:tcBorders>
            <w:vAlign w:val="center"/>
          </w:tcPr>
          <w:p w14:paraId="74ED0393" w14:textId="6F9CDDC0" w:rsidR="00426B6F" w:rsidRPr="00F13086" w:rsidRDefault="00426B6F" w:rsidP="008429F2">
            <w:pPr>
              <w:pStyle w:val="TableCaption"/>
              <w:rPr>
                <w:kern w:val="16"/>
                <w:sz w:val="16"/>
                <w:szCs w:val="16"/>
              </w:rPr>
            </w:pPr>
            <w:r w:rsidRPr="00F13086">
              <w:rPr>
                <w:kern w:val="16"/>
                <w:sz w:val="16"/>
                <w:szCs w:val="16"/>
              </w:rPr>
              <w:t>29</w:t>
            </w:r>
            <w:r w:rsidR="008429F2">
              <w:rPr>
                <w:kern w:val="16"/>
                <w:sz w:val="16"/>
                <w:szCs w:val="16"/>
              </w:rPr>
              <w:t xml:space="preserve"> </w:t>
            </w:r>
          </w:p>
        </w:tc>
        <w:tc>
          <w:tcPr>
            <w:tcW w:w="992" w:type="dxa"/>
            <w:tcBorders>
              <w:top w:val="single" w:sz="18" w:space="0" w:color="auto"/>
              <w:bottom w:val="single" w:sz="4" w:space="0" w:color="auto"/>
            </w:tcBorders>
            <w:vAlign w:val="center"/>
          </w:tcPr>
          <w:p w14:paraId="43AF0A13" w14:textId="527FBD69" w:rsidR="00426B6F" w:rsidRPr="00F13086" w:rsidRDefault="00426B6F">
            <w:pPr>
              <w:pStyle w:val="TableCaption"/>
              <w:rPr>
                <w:kern w:val="16"/>
                <w:sz w:val="16"/>
                <w:szCs w:val="16"/>
              </w:rPr>
            </w:pPr>
            <w:r w:rsidRPr="00F13086">
              <w:rPr>
                <w:kern w:val="16"/>
                <w:sz w:val="16"/>
                <w:szCs w:val="16"/>
              </w:rPr>
              <w:t>1.5</w:t>
            </w:r>
          </w:p>
        </w:tc>
        <w:tc>
          <w:tcPr>
            <w:tcW w:w="992" w:type="dxa"/>
            <w:tcBorders>
              <w:top w:val="single" w:sz="18" w:space="0" w:color="auto"/>
              <w:bottom w:val="single" w:sz="4" w:space="0" w:color="auto"/>
              <w:right w:val="single" w:sz="18" w:space="0" w:color="auto"/>
            </w:tcBorders>
            <w:vAlign w:val="center"/>
          </w:tcPr>
          <w:p w14:paraId="2D22557E" w14:textId="09923E8A" w:rsidR="00426B6F" w:rsidRPr="00F13086" w:rsidRDefault="00426B6F">
            <w:pPr>
              <w:pStyle w:val="TableCaption"/>
              <w:rPr>
                <w:sz w:val="16"/>
                <w:szCs w:val="16"/>
              </w:rPr>
            </w:pPr>
            <w:r w:rsidRPr="00F13086">
              <w:rPr>
                <w:sz w:val="16"/>
                <w:szCs w:val="16"/>
              </w:rPr>
              <w:t>2.5</w:t>
            </w:r>
          </w:p>
        </w:tc>
        <w:tc>
          <w:tcPr>
            <w:tcW w:w="675" w:type="dxa"/>
            <w:tcBorders>
              <w:top w:val="single" w:sz="18" w:space="0" w:color="auto"/>
              <w:left w:val="single" w:sz="18" w:space="0" w:color="auto"/>
              <w:bottom w:val="single" w:sz="4" w:space="0" w:color="auto"/>
            </w:tcBorders>
            <w:vAlign w:val="center"/>
          </w:tcPr>
          <w:p w14:paraId="19368D68" w14:textId="4A75DBFF" w:rsidR="00426B6F" w:rsidRPr="00F13086" w:rsidRDefault="00426B6F">
            <w:pPr>
              <w:pStyle w:val="TableCaption"/>
              <w:rPr>
                <w:sz w:val="16"/>
                <w:szCs w:val="16"/>
              </w:rPr>
            </w:pPr>
            <w:r w:rsidRPr="00F13086">
              <w:rPr>
                <w:sz w:val="16"/>
                <w:szCs w:val="16"/>
              </w:rPr>
              <w:t>33</w:t>
            </w:r>
          </w:p>
        </w:tc>
      </w:tr>
      <w:tr w:rsidR="00426B6F" w:rsidRPr="009D44FA" w14:paraId="371DAA19" w14:textId="77777777" w:rsidTr="000D5EEA">
        <w:trPr>
          <w:trHeight w:val="151"/>
        </w:trPr>
        <w:tc>
          <w:tcPr>
            <w:tcW w:w="1276" w:type="dxa"/>
            <w:tcBorders>
              <w:top w:val="single" w:sz="4" w:space="0" w:color="auto"/>
              <w:left w:val="single" w:sz="4" w:space="0" w:color="auto"/>
              <w:bottom w:val="single" w:sz="4" w:space="0" w:color="auto"/>
              <w:right w:val="single" w:sz="4" w:space="0" w:color="auto"/>
            </w:tcBorders>
          </w:tcPr>
          <w:p w14:paraId="6BA27556" w14:textId="21CB4CC4" w:rsidR="00426B6F" w:rsidRPr="00F13086" w:rsidRDefault="00426B6F" w:rsidP="007B1A49">
            <w:pPr>
              <w:pStyle w:val="TableCaption"/>
              <w:jc w:val="left"/>
              <w:rPr>
                <w:kern w:val="16"/>
                <w:sz w:val="16"/>
                <w:szCs w:val="16"/>
              </w:rPr>
            </w:pPr>
            <w:r w:rsidRPr="00F13086">
              <w:rPr>
                <w:kern w:val="16"/>
                <w:sz w:val="16"/>
                <w:szCs w:val="16"/>
              </w:rPr>
              <w:t>Ion Cycle Setup</w:t>
            </w:r>
          </w:p>
        </w:tc>
        <w:tc>
          <w:tcPr>
            <w:tcW w:w="851" w:type="dxa"/>
            <w:tcBorders>
              <w:top w:val="single" w:sz="4" w:space="0" w:color="auto"/>
              <w:left w:val="single" w:sz="4" w:space="0" w:color="auto"/>
              <w:bottom w:val="single" w:sz="4" w:space="0" w:color="auto"/>
            </w:tcBorders>
            <w:vAlign w:val="center"/>
          </w:tcPr>
          <w:p w14:paraId="527C5981" w14:textId="1197FF71"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tcBorders>
            <w:vAlign w:val="center"/>
          </w:tcPr>
          <w:p w14:paraId="07828E0C" w14:textId="30B1019F"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right w:val="single" w:sz="18" w:space="0" w:color="auto"/>
            </w:tcBorders>
            <w:vAlign w:val="center"/>
          </w:tcPr>
          <w:p w14:paraId="36901037" w14:textId="32E3EE53" w:rsidR="00426B6F" w:rsidRPr="00F13086" w:rsidRDefault="00426B6F">
            <w:pPr>
              <w:pStyle w:val="TableCaption"/>
              <w:rPr>
                <w:kern w:val="16"/>
                <w:sz w:val="16"/>
                <w:szCs w:val="16"/>
              </w:rPr>
            </w:pPr>
            <w:r w:rsidRPr="00F13086">
              <w:rPr>
                <w:kern w:val="16"/>
                <w:sz w:val="16"/>
                <w:szCs w:val="16"/>
              </w:rPr>
              <w:t>2</w:t>
            </w:r>
          </w:p>
        </w:tc>
        <w:tc>
          <w:tcPr>
            <w:tcW w:w="675" w:type="dxa"/>
            <w:tcBorders>
              <w:top w:val="single" w:sz="4" w:space="0" w:color="auto"/>
              <w:left w:val="single" w:sz="18" w:space="0" w:color="auto"/>
              <w:bottom w:val="single" w:sz="4" w:space="0" w:color="auto"/>
            </w:tcBorders>
            <w:vAlign w:val="center"/>
          </w:tcPr>
          <w:p w14:paraId="4FCAEE1D" w14:textId="26859164" w:rsidR="00426B6F" w:rsidRPr="00F13086" w:rsidRDefault="00426B6F">
            <w:pPr>
              <w:pStyle w:val="TableCaption"/>
              <w:rPr>
                <w:kern w:val="16"/>
                <w:sz w:val="16"/>
                <w:szCs w:val="16"/>
              </w:rPr>
            </w:pPr>
            <w:r w:rsidRPr="00F13086">
              <w:rPr>
                <w:kern w:val="16"/>
                <w:sz w:val="16"/>
                <w:szCs w:val="16"/>
              </w:rPr>
              <w:t>2</w:t>
            </w:r>
          </w:p>
        </w:tc>
      </w:tr>
      <w:tr w:rsidR="00426B6F" w:rsidRPr="009D44FA" w14:paraId="2F43BD2D" w14:textId="77777777" w:rsidTr="000D5EEA">
        <w:trPr>
          <w:trHeight w:val="184"/>
        </w:trPr>
        <w:tc>
          <w:tcPr>
            <w:tcW w:w="1276" w:type="dxa"/>
            <w:tcBorders>
              <w:top w:val="single" w:sz="4" w:space="0" w:color="auto"/>
              <w:left w:val="single" w:sz="4" w:space="0" w:color="auto"/>
              <w:bottom w:val="single" w:sz="4" w:space="0" w:color="auto"/>
              <w:right w:val="single" w:sz="4" w:space="0" w:color="auto"/>
            </w:tcBorders>
          </w:tcPr>
          <w:p w14:paraId="08135993" w14:textId="1F2CD2DC" w:rsidR="00426B6F" w:rsidRPr="00F13086" w:rsidRDefault="00426B6F" w:rsidP="00426B6F">
            <w:pPr>
              <w:pStyle w:val="TableCaption"/>
              <w:jc w:val="left"/>
              <w:rPr>
                <w:kern w:val="16"/>
                <w:sz w:val="16"/>
                <w:szCs w:val="16"/>
              </w:rPr>
            </w:pPr>
            <w:r w:rsidRPr="00F13086">
              <w:rPr>
                <w:kern w:val="16"/>
                <w:sz w:val="16"/>
                <w:szCs w:val="16"/>
              </w:rPr>
              <w:t>Special Physics Commissioning</w:t>
            </w:r>
          </w:p>
        </w:tc>
        <w:tc>
          <w:tcPr>
            <w:tcW w:w="851" w:type="dxa"/>
            <w:tcBorders>
              <w:top w:val="single" w:sz="4" w:space="0" w:color="auto"/>
              <w:left w:val="single" w:sz="4" w:space="0" w:color="auto"/>
              <w:bottom w:val="single" w:sz="4" w:space="0" w:color="auto"/>
            </w:tcBorders>
            <w:vAlign w:val="center"/>
          </w:tcPr>
          <w:p w14:paraId="696023BB" w14:textId="0F2F3AE4"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tcBorders>
            <w:vAlign w:val="center"/>
          </w:tcPr>
          <w:p w14:paraId="2847BA24" w14:textId="389B163D" w:rsidR="00426B6F" w:rsidRPr="00F13086" w:rsidRDefault="00426B6F">
            <w:pPr>
              <w:pStyle w:val="TableCaption"/>
              <w:rPr>
                <w:kern w:val="16"/>
                <w:sz w:val="16"/>
                <w:szCs w:val="16"/>
              </w:rPr>
            </w:pPr>
            <w:r w:rsidRPr="00F13086">
              <w:rPr>
                <w:kern w:val="16"/>
                <w:sz w:val="16"/>
                <w:szCs w:val="16"/>
              </w:rPr>
              <w:t>3</w:t>
            </w:r>
          </w:p>
        </w:tc>
        <w:tc>
          <w:tcPr>
            <w:tcW w:w="992" w:type="dxa"/>
            <w:tcBorders>
              <w:top w:val="single" w:sz="4" w:space="0" w:color="auto"/>
              <w:bottom w:val="single" w:sz="4" w:space="0" w:color="auto"/>
              <w:right w:val="single" w:sz="18" w:space="0" w:color="auto"/>
            </w:tcBorders>
            <w:vAlign w:val="center"/>
          </w:tcPr>
          <w:p w14:paraId="62BCBE8F" w14:textId="6D3AC23D" w:rsidR="00426B6F" w:rsidRPr="00F13086" w:rsidRDefault="00426B6F">
            <w:pPr>
              <w:pStyle w:val="TableCaption"/>
              <w:rPr>
                <w:kern w:val="16"/>
                <w:sz w:val="16"/>
                <w:szCs w:val="16"/>
              </w:rPr>
            </w:pPr>
            <w:r w:rsidRPr="00F13086">
              <w:rPr>
                <w:kern w:val="16"/>
                <w:sz w:val="16"/>
                <w:szCs w:val="16"/>
              </w:rPr>
              <w:t>0</w:t>
            </w:r>
          </w:p>
        </w:tc>
        <w:tc>
          <w:tcPr>
            <w:tcW w:w="675" w:type="dxa"/>
            <w:tcBorders>
              <w:top w:val="single" w:sz="4" w:space="0" w:color="auto"/>
              <w:left w:val="single" w:sz="18" w:space="0" w:color="auto"/>
              <w:bottom w:val="single" w:sz="4" w:space="0" w:color="auto"/>
            </w:tcBorders>
            <w:vAlign w:val="center"/>
          </w:tcPr>
          <w:p w14:paraId="7DE758B9" w14:textId="6D27754E" w:rsidR="00426B6F" w:rsidRPr="00F13086" w:rsidRDefault="00426B6F">
            <w:pPr>
              <w:pStyle w:val="TableCaption"/>
              <w:rPr>
                <w:kern w:val="16"/>
                <w:sz w:val="16"/>
                <w:szCs w:val="16"/>
              </w:rPr>
            </w:pPr>
            <w:r w:rsidRPr="00F13086">
              <w:rPr>
                <w:kern w:val="16"/>
                <w:sz w:val="16"/>
                <w:szCs w:val="16"/>
              </w:rPr>
              <w:t>3</w:t>
            </w:r>
          </w:p>
        </w:tc>
      </w:tr>
      <w:tr w:rsidR="00426B6F" w:rsidRPr="009D44FA" w14:paraId="0B21EDA5" w14:textId="77777777" w:rsidTr="000D5EEA">
        <w:trPr>
          <w:trHeight w:val="193"/>
        </w:trPr>
        <w:tc>
          <w:tcPr>
            <w:tcW w:w="1276" w:type="dxa"/>
            <w:tcBorders>
              <w:top w:val="single" w:sz="4" w:space="0" w:color="auto"/>
              <w:left w:val="single" w:sz="4" w:space="0" w:color="auto"/>
              <w:bottom w:val="single" w:sz="4" w:space="0" w:color="auto"/>
              <w:right w:val="single" w:sz="4" w:space="0" w:color="auto"/>
            </w:tcBorders>
          </w:tcPr>
          <w:p w14:paraId="54BD2683" w14:textId="3B7544DF" w:rsidR="00426B6F" w:rsidRPr="00F13086" w:rsidRDefault="00426B6F" w:rsidP="007B1A49">
            <w:pPr>
              <w:pStyle w:val="TableCaption"/>
              <w:jc w:val="left"/>
              <w:rPr>
                <w:kern w:val="16"/>
                <w:sz w:val="16"/>
                <w:szCs w:val="16"/>
              </w:rPr>
            </w:pPr>
            <w:r w:rsidRPr="00F13086">
              <w:rPr>
                <w:kern w:val="16"/>
                <w:sz w:val="16"/>
                <w:szCs w:val="16"/>
              </w:rPr>
              <w:t>Scrubbing</w:t>
            </w:r>
          </w:p>
        </w:tc>
        <w:tc>
          <w:tcPr>
            <w:tcW w:w="851" w:type="dxa"/>
            <w:tcBorders>
              <w:top w:val="single" w:sz="4" w:space="0" w:color="auto"/>
              <w:left w:val="single" w:sz="4" w:space="0" w:color="auto"/>
              <w:bottom w:val="single" w:sz="4" w:space="0" w:color="auto"/>
            </w:tcBorders>
            <w:vAlign w:val="center"/>
          </w:tcPr>
          <w:p w14:paraId="777B4E25" w14:textId="21F2F015" w:rsidR="00426B6F" w:rsidRPr="000D5EEA" w:rsidRDefault="00426B6F">
            <w:pPr>
              <w:pStyle w:val="TableCaption"/>
              <w:rPr>
                <w:kern w:val="16"/>
                <w:sz w:val="16"/>
                <w:szCs w:val="16"/>
              </w:rPr>
            </w:pPr>
            <w:r w:rsidRPr="000D5EEA">
              <w:rPr>
                <w:kern w:val="16"/>
                <w:sz w:val="16"/>
                <w:szCs w:val="16"/>
              </w:rPr>
              <w:t>2</w:t>
            </w:r>
          </w:p>
        </w:tc>
        <w:tc>
          <w:tcPr>
            <w:tcW w:w="992" w:type="dxa"/>
            <w:tcBorders>
              <w:top w:val="single" w:sz="4" w:space="0" w:color="auto"/>
              <w:bottom w:val="single" w:sz="4" w:space="0" w:color="auto"/>
            </w:tcBorders>
            <w:vAlign w:val="center"/>
          </w:tcPr>
          <w:p w14:paraId="5071EA7C" w14:textId="010F0763"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right w:val="single" w:sz="18" w:space="0" w:color="auto"/>
            </w:tcBorders>
            <w:vAlign w:val="center"/>
          </w:tcPr>
          <w:p w14:paraId="3D3D796E" w14:textId="023A8112" w:rsidR="00426B6F" w:rsidRPr="00F13086" w:rsidRDefault="00426B6F">
            <w:pPr>
              <w:pStyle w:val="TableCaption"/>
              <w:rPr>
                <w:kern w:val="16"/>
                <w:sz w:val="16"/>
                <w:szCs w:val="16"/>
              </w:rPr>
            </w:pPr>
            <w:r w:rsidRPr="00F13086">
              <w:rPr>
                <w:kern w:val="16"/>
                <w:sz w:val="16"/>
                <w:szCs w:val="16"/>
              </w:rPr>
              <w:t>0</w:t>
            </w:r>
          </w:p>
        </w:tc>
        <w:tc>
          <w:tcPr>
            <w:tcW w:w="675" w:type="dxa"/>
            <w:tcBorders>
              <w:top w:val="single" w:sz="4" w:space="0" w:color="auto"/>
              <w:left w:val="single" w:sz="18" w:space="0" w:color="auto"/>
              <w:bottom w:val="single" w:sz="4" w:space="0" w:color="auto"/>
            </w:tcBorders>
            <w:vAlign w:val="center"/>
          </w:tcPr>
          <w:p w14:paraId="7A683764" w14:textId="1DCC1238" w:rsidR="00426B6F" w:rsidRPr="00F13086" w:rsidRDefault="00426B6F">
            <w:pPr>
              <w:pStyle w:val="TableCaption"/>
              <w:rPr>
                <w:kern w:val="16"/>
                <w:sz w:val="16"/>
                <w:szCs w:val="16"/>
              </w:rPr>
            </w:pPr>
            <w:r w:rsidRPr="00F13086">
              <w:rPr>
                <w:kern w:val="16"/>
                <w:sz w:val="16"/>
                <w:szCs w:val="16"/>
              </w:rPr>
              <w:t>2</w:t>
            </w:r>
          </w:p>
        </w:tc>
      </w:tr>
      <w:tr w:rsidR="00426B6F" w:rsidRPr="009D44FA" w14:paraId="269DE31F" w14:textId="77777777" w:rsidTr="000D5EEA">
        <w:trPr>
          <w:trHeight w:val="193"/>
        </w:trPr>
        <w:tc>
          <w:tcPr>
            <w:tcW w:w="1276" w:type="dxa"/>
            <w:tcBorders>
              <w:top w:val="single" w:sz="4" w:space="0" w:color="auto"/>
              <w:left w:val="single" w:sz="4" w:space="0" w:color="auto"/>
              <w:bottom w:val="single" w:sz="4" w:space="0" w:color="auto"/>
              <w:right w:val="single" w:sz="4" w:space="0" w:color="auto"/>
            </w:tcBorders>
          </w:tcPr>
          <w:p w14:paraId="2FA67F3A" w14:textId="55B9C79E" w:rsidR="00426B6F" w:rsidRPr="00F13086" w:rsidRDefault="00426B6F" w:rsidP="007B1A49">
            <w:pPr>
              <w:pStyle w:val="TableCaption"/>
              <w:jc w:val="left"/>
              <w:rPr>
                <w:kern w:val="16"/>
                <w:sz w:val="16"/>
                <w:szCs w:val="16"/>
              </w:rPr>
            </w:pPr>
            <w:r w:rsidRPr="00F13086">
              <w:rPr>
                <w:kern w:val="16"/>
                <w:sz w:val="16"/>
                <w:szCs w:val="16"/>
              </w:rPr>
              <w:t>MDs</w:t>
            </w:r>
          </w:p>
        </w:tc>
        <w:tc>
          <w:tcPr>
            <w:tcW w:w="851" w:type="dxa"/>
            <w:tcBorders>
              <w:top w:val="single" w:sz="4" w:space="0" w:color="auto"/>
              <w:left w:val="single" w:sz="4" w:space="0" w:color="auto"/>
              <w:bottom w:val="single" w:sz="4" w:space="0" w:color="auto"/>
            </w:tcBorders>
            <w:vAlign w:val="center"/>
          </w:tcPr>
          <w:p w14:paraId="216B94F6" w14:textId="7FF11264"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tcBorders>
            <w:vAlign w:val="center"/>
          </w:tcPr>
          <w:p w14:paraId="373E6062" w14:textId="5E5BC12F" w:rsidR="00426B6F" w:rsidRPr="00F13086" w:rsidRDefault="00426B6F">
            <w:pPr>
              <w:pStyle w:val="TableCaption"/>
              <w:rPr>
                <w:kern w:val="16"/>
                <w:sz w:val="16"/>
                <w:szCs w:val="16"/>
              </w:rPr>
            </w:pPr>
            <w:r w:rsidRPr="00F13086">
              <w:rPr>
                <w:kern w:val="16"/>
                <w:sz w:val="16"/>
                <w:szCs w:val="16"/>
              </w:rPr>
              <w:t>11</w:t>
            </w:r>
          </w:p>
        </w:tc>
        <w:tc>
          <w:tcPr>
            <w:tcW w:w="992" w:type="dxa"/>
            <w:tcBorders>
              <w:top w:val="single" w:sz="4" w:space="0" w:color="auto"/>
              <w:bottom w:val="single" w:sz="4" w:space="0" w:color="auto"/>
              <w:right w:val="single" w:sz="18" w:space="0" w:color="auto"/>
            </w:tcBorders>
            <w:vAlign w:val="center"/>
          </w:tcPr>
          <w:p w14:paraId="6F046039" w14:textId="19763A07" w:rsidR="00426B6F" w:rsidRPr="00F13086" w:rsidRDefault="00426B6F">
            <w:pPr>
              <w:pStyle w:val="TableCaption"/>
              <w:rPr>
                <w:kern w:val="16"/>
                <w:sz w:val="16"/>
                <w:szCs w:val="16"/>
              </w:rPr>
            </w:pPr>
            <w:r w:rsidRPr="00F13086">
              <w:rPr>
                <w:kern w:val="16"/>
                <w:sz w:val="16"/>
                <w:szCs w:val="16"/>
              </w:rPr>
              <w:t>9</w:t>
            </w:r>
          </w:p>
        </w:tc>
        <w:tc>
          <w:tcPr>
            <w:tcW w:w="675" w:type="dxa"/>
            <w:tcBorders>
              <w:top w:val="single" w:sz="4" w:space="0" w:color="auto"/>
              <w:left w:val="single" w:sz="18" w:space="0" w:color="auto"/>
              <w:bottom w:val="single" w:sz="4" w:space="0" w:color="auto"/>
            </w:tcBorders>
            <w:vAlign w:val="center"/>
          </w:tcPr>
          <w:p w14:paraId="15EC55A2" w14:textId="38E3C2F0" w:rsidR="00426B6F" w:rsidRPr="00F13086" w:rsidRDefault="00426B6F">
            <w:pPr>
              <w:pStyle w:val="TableCaption"/>
              <w:rPr>
                <w:kern w:val="16"/>
                <w:sz w:val="16"/>
                <w:szCs w:val="16"/>
              </w:rPr>
            </w:pPr>
            <w:r w:rsidRPr="00F13086">
              <w:rPr>
                <w:kern w:val="16"/>
                <w:sz w:val="16"/>
                <w:szCs w:val="16"/>
              </w:rPr>
              <w:t>20</w:t>
            </w:r>
          </w:p>
        </w:tc>
      </w:tr>
      <w:tr w:rsidR="00426B6F" w:rsidRPr="009D44FA" w14:paraId="124E24EA" w14:textId="77777777" w:rsidTr="000D5EEA">
        <w:trPr>
          <w:trHeight w:val="193"/>
        </w:trPr>
        <w:tc>
          <w:tcPr>
            <w:tcW w:w="1276" w:type="dxa"/>
            <w:tcBorders>
              <w:top w:val="single" w:sz="4" w:space="0" w:color="auto"/>
              <w:left w:val="single" w:sz="4" w:space="0" w:color="auto"/>
              <w:bottom w:val="single" w:sz="4" w:space="0" w:color="auto"/>
              <w:right w:val="single" w:sz="4" w:space="0" w:color="auto"/>
            </w:tcBorders>
          </w:tcPr>
          <w:p w14:paraId="64D6E55E" w14:textId="60A6449C" w:rsidR="00426B6F" w:rsidRPr="00F13086" w:rsidRDefault="00426B6F" w:rsidP="007B1A49">
            <w:pPr>
              <w:pStyle w:val="TableCaption"/>
              <w:jc w:val="left"/>
              <w:rPr>
                <w:kern w:val="16"/>
                <w:sz w:val="16"/>
                <w:szCs w:val="16"/>
              </w:rPr>
            </w:pPr>
            <w:r w:rsidRPr="00F13086">
              <w:rPr>
                <w:kern w:val="16"/>
                <w:sz w:val="16"/>
                <w:szCs w:val="16"/>
              </w:rPr>
              <w:t>Special Physics</w:t>
            </w:r>
          </w:p>
        </w:tc>
        <w:tc>
          <w:tcPr>
            <w:tcW w:w="851" w:type="dxa"/>
            <w:tcBorders>
              <w:top w:val="single" w:sz="4" w:space="0" w:color="auto"/>
              <w:left w:val="single" w:sz="4" w:space="0" w:color="auto"/>
              <w:bottom w:val="single" w:sz="4" w:space="0" w:color="auto"/>
            </w:tcBorders>
            <w:vAlign w:val="center"/>
          </w:tcPr>
          <w:p w14:paraId="232A252F" w14:textId="5E5B9271" w:rsidR="00426B6F" w:rsidRPr="00F13086" w:rsidRDefault="00426B6F">
            <w:pPr>
              <w:pStyle w:val="TableCaption"/>
              <w:rPr>
                <w:kern w:val="16"/>
                <w:sz w:val="16"/>
                <w:szCs w:val="16"/>
              </w:rPr>
            </w:pPr>
            <w:r w:rsidRPr="00F13086">
              <w:rPr>
                <w:kern w:val="16"/>
                <w:sz w:val="16"/>
                <w:szCs w:val="16"/>
              </w:rPr>
              <w:t>3</w:t>
            </w:r>
          </w:p>
        </w:tc>
        <w:tc>
          <w:tcPr>
            <w:tcW w:w="992" w:type="dxa"/>
            <w:tcBorders>
              <w:top w:val="single" w:sz="4" w:space="0" w:color="auto"/>
              <w:bottom w:val="single" w:sz="4" w:space="0" w:color="auto"/>
            </w:tcBorders>
            <w:vAlign w:val="center"/>
          </w:tcPr>
          <w:p w14:paraId="22E15458" w14:textId="6463A91E" w:rsidR="00426B6F" w:rsidRPr="00F13086" w:rsidRDefault="00426B6F">
            <w:pPr>
              <w:pStyle w:val="TableCaption"/>
              <w:rPr>
                <w:kern w:val="16"/>
                <w:sz w:val="16"/>
                <w:szCs w:val="16"/>
              </w:rPr>
            </w:pPr>
            <w:r w:rsidRPr="00F13086">
              <w:rPr>
                <w:kern w:val="16"/>
                <w:sz w:val="16"/>
                <w:szCs w:val="16"/>
              </w:rPr>
              <w:t>0</w:t>
            </w:r>
          </w:p>
        </w:tc>
        <w:tc>
          <w:tcPr>
            <w:tcW w:w="992" w:type="dxa"/>
            <w:tcBorders>
              <w:top w:val="single" w:sz="4" w:space="0" w:color="auto"/>
              <w:bottom w:val="single" w:sz="4" w:space="0" w:color="auto"/>
              <w:right w:val="single" w:sz="18" w:space="0" w:color="auto"/>
            </w:tcBorders>
            <w:vAlign w:val="center"/>
          </w:tcPr>
          <w:p w14:paraId="396D6665" w14:textId="679CD1A5" w:rsidR="00426B6F" w:rsidRPr="00F13086" w:rsidRDefault="00426B6F">
            <w:pPr>
              <w:pStyle w:val="TableCaption"/>
              <w:rPr>
                <w:kern w:val="16"/>
                <w:sz w:val="16"/>
                <w:szCs w:val="16"/>
              </w:rPr>
            </w:pPr>
            <w:r w:rsidRPr="00F13086">
              <w:rPr>
                <w:kern w:val="16"/>
                <w:sz w:val="16"/>
                <w:szCs w:val="16"/>
              </w:rPr>
              <w:t>4</w:t>
            </w:r>
          </w:p>
        </w:tc>
        <w:tc>
          <w:tcPr>
            <w:tcW w:w="675" w:type="dxa"/>
            <w:tcBorders>
              <w:top w:val="single" w:sz="4" w:space="0" w:color="auto"/>
              <w:left w:val="single" w:sz="18" w:space="0" w:color="auto"/>
              <w:bottom w:val="single" w:sz="4" w:space="0" w:color="auto"/>
            </w:tcBorders>
            <w:vAlign w:val="center"/>
          </w:tcPr>
          <w:p w14:paraId="34FE13E6" w14:textId="14BA4DCD" w:rsidR="00426B6F" w:rsidRPr="00F13086" w:rsidRDefault="00426B6F">
            <w:pPr>
              <w:pStyle w:val="TableCaption"/>
              <w:rPr>
                <w:kern w:val="16"/>
                <w:sz w:val="16"/>
                <w:szCs w:val="16"/>
              </w:rPr>
            </w:pPr>
            <w:r w:rsidRPr="00F13086">
              <w:rPr>
                <w:kern w:val="16"/>
                <w:sz w:val="16"/>
                <w:szCs w:val="16"/>
              </w:rPr>
              <w:t>7</w:t>
            </w:r>
          </w:p>
        </w:tc>
      </w:tr>
      <w:tr w:rsidR="00426B6F" w:rsidRPr="009D44FA" w14:paraId="4C89E1BF" w14:textId="77777777" w:rsidTr="000D5EEA">
        <w:trPr>
          <w:trHeight w:val="193"/>
        </w:trPr>
        <w:tc>
          <w:tcPr>
            <w:tcW w:w="1276" w:type="dxa"/>
            <w:tcBorders>
              <w:top w:val="single" w:sz="4" w:space="0" w:color="auto"/>
              <w:left w:val="single" w:sz="4" w:space="0" w:color="auto"/>
              <w:bottom w:val="single" w:sz="4" w:space="0" w:color="auto"/>
              <w:right w:val="single" w:sz="4" w:space="0" w:color="auto"/>
            </w:tcBorders>
          </w:tcPr>
          <w:p w14:paraId="4E20EA3F" w14:textId="76D3C1A9" w:rsidR="00426B6F" w:rsidRPr="00F13086" w:rsidRDefault="00426B6F" w:rsidP="007B1A49">
            <w:pPr>
              <w:pStyle w:val="TableCaption"/>
              <w:jc w:val="left"/>
              <w:rPr>
                <w:kern w:val="16"/>
                <w:sz w:val="16"/>
                <w:szCs w:val="16"/>
              </w:rPr>
            </w:pPr>
            <w:r w:rsidRPr="00F13086">
              <w:rPr>
                <w:kern w:val="16"/>
                <w:sz w:val="16"/>
                <w:szCs w:val="16"/>
              </w:rPr>
              <w:t>Physics</w:t>
            </w:r>
          </w:p>
        </w:tc>
        <w:tc>
          <w:tcPr>
            <w:tcW w:w="851" w:type="dxa"/>
            <w:tcBorders>
              <w:top w:val="single" w:sz="4" w:space="0" w:color="auto"/>
              <w:left w:val="single" w:sz="4" w:space="0" w:color="auto"/>
              <w:bottom w:val="single" w:sz="4" w:space="0" w:color="auto"/>
            </w:tcBorders>
            <w:vAlign w:val="center"/>
          </w:tcPr>
          <w:p w14:paraId="5FC7551E" w14:textId="7A0DECA9" w:rsidR="00426B6F" w:rsidRPr="00F13086" w:rsidRDefault="00426B6F">
            <w:pPr>
              <w:pStyle w:val="TableCaption"/>
              <w:rPr>
                <w:kern w:val="16"/>
                <w:sz w:val="16"/>
                <w:szCs w:val="16"/>
              </w:rPr>
            </w:pPr>
            <w:r w:rsidRPr="00F13086">
              <w:rPr>
                <w:kern w:val="16"/>
                <w:sz w:val="16"/>
                <w:szCs w:val="16"/>
              </w:rPr>
              <w:t>40</w:t>
            </w:r>
          </w:p>
        </w:tc>
        <w:tc>
          <w:tcPr>
            <w:tcW w:w="992" w:type="dxa"/>
            <w:tcBorders>
              <w:top w:val="single" w:sz="4" w:space="0" w:color="auto"/>
              <w:bottom w:val="single" w:sz="4" w:space="0" w:color="auto"/>
            </w:tcBorders>
            <w:vAlign w:val="center"/>
          </w:tcPr>
          <w:p w14:paraId="7D193EC1" w14:textId="1DD08AA5" w:rsidR="00426B6F" w:rsidRPr="00F13086" w:rsidRDefault="00426B6F">
            <w:pPr>
              <w:pStyle w:val="TableCaption"/>
              <w:rPr>
                <w:kern w:val="16"/>
                <w:sz w:val="16"/>
                <w:szCs w:val="16"/>
              </w:rPr>
            </w:pPr>
            <w:r w:rsidRPr="00F13086">
              <w:rPr>
                <w:kern w:val="16"/>
                <w:sz w:val="16"/>
                <w:szCs w:val="16"/>
              </w:rPr>
              <w:t>79</w:t>
            </w:r>
          </w:p>
        </w:tc>
        <w:tc>
          <w:tcPr>
            <w:tcW w:w="992" w:type="dxa"/>
            <w:tcBorders>
              <w:top w:val="single" w:sz="4" w:space="0" w:color="auto"/>
              <w:bottom w:val="single" w:sz="4" w:space="0" w:color="auto"/>
              <w:right w:val="single" w:sz="18" w:space="0" w:color="auto"/>
            </w:tcBorders>
            <w:vAlign w:val="center"/>
          </w:tcPr>
          <w:p w14:paraId="4C8970AB" w14:textId="06239324" w:rsidR="00426B6F" w:rsidRPr="00F13086" w:rsidRDefault="00426B6F">
            <w:pPr>
              <w:pStyle w:val="TableCaption"/>
              <w:rPr>
                <w:kern w:val="16"/>
                <w:sz w:val="16"/>
                <w:szCs w:val="16"/>
              </w:rPr>
            </w:pPr>
            <w:r w:rsidRPr="00F13086">
              <w:rPr>
                <w:kern w:val="16"/>
                <w:sz w:val="16"/>
                <w:szCs w:val="16"/>
              </w:rPr>
              <w:t>27</w:t>
            </w:r>
          </w:p>
        </w:tc>
        <w:tc>
          <w:tcPr>
            <w:tcW w:w="675" w:type="dxa"/>
            <w:tcBorders>
              <w:top w:val="single" w:sz="4" w:space="0" w:color="auto"/>
              <w:left w:val="single" w:sz="18" w:space="0" w:color="auto"/>
              <w:bottom w:val="single" w:sz="4" w:space="0" w:color="auto"/>
            </w:tcBorders>
            <w:vAlign w:val="center"/>
          </w:tcPr>
          <w:p w14:paraId="4FB42204" w14:textId="4A47786E" w:rsidR="00426B6F" w:rsidRPr="00F13086" w:rsidRDefault="00426B6F">
            <w:pPr>
              <w:pStyle w:val="TableCaption"/>
              <w:rPr>
                <w:kern w:val="16"/>
                <w:sz w:val="16"/>
                <w:szCs w:val="16"/>
              </w:rPr>
            </w:pPr>
            <w:r w:rsidRPr="00F13086">
              <w:rPr>
                <w:kern w:val="16"/>
                <w:sz w:val="16"/>
                <w:szCs w:val="16"/>
              </w:rPr>
              <w:t>146</w:t>
            </w:r>
          </w:p>
        </w:tc>
      </w:tr>
    </w:tbl>
    <w:p w14:paraId="198181CA" w14:textId="77777777" w:rsidR="007628B3" w:rsidRDefault="007628B3" w:rsidP="00A5649D">
      <w:pPr>
        <w:pStyle w:val="Heading2"/>
        <w:spacing w:before="180"/>
      </w:pPr>
    </w:p>
    <w:p w14:paraId="01A722CD" w14:textId="78B866A6" w:rsidR="00A5649D" w:rsidRDefault="00E10DEF" w:rsidP="00A5649D">
      <w:pPr>
        <w:pStyle w:val="Heading2"/>
        <w:spacing w:before="180"/>
      </w:pPr>
      <w:r>
        <w:t xml:space="preserve">OVERVIEW: </w:t>
      </w:r>
      <w:r w:rsidR="00453A3C">
        <w:t>201</w:t>
      </w:r>
      <w:r w:rsidR="00691578">
        <w:t>6</w:t>
      </w:r>
      <w:r w:rsidR="00453A3C">
        <w:t xml:space="preserve"> </w:t>
      </w:r>
      <w:r w:rsidR="001C36D4">
        <w:t>AVAILABILITY</w:t>
      </w:r>
    </w:p>
    <w:p w14:paraId="04592D73" w14:textId="20D14431" w:rsidR="008F01EA" w:rsidRDefault="00691578" w:rsidP="00930ADB">
      <w:pPr>
        <w:pStyle w:val="BodyTextIndent"/>
        <w:rPr>
          <w:kern w:val="16"/>
        </w:rPr>
      </w:pPr>
      <w:r>
        <w:rPr>
          <w:kern w:val="16"/>
        </w:rPr>
        <w:t xml:space="preserve">The 2016 proton run </w:t>
      </w:r>
      <w:r w:rsidR="00A35779">
        <w:rPr>
          <w:kern w:val="16"/>
        </w:rPr>
        <w:t xml:space="preserve">began on the </w:t>
      </w:r>
      <w:r>
        <w:rPr>
          <w:kern w:val="16"/>
        </w:rPr>
        <w:t>25</w:t>
      </w:r>
      <w:r w:rsidRPr="00691578">
        <w:rPr>
          <w:kern w:val="16"/>
          <w:vertAlign w:val="superscript"/>
        </w:rPr>
        <w:t>th</w:t>
      </w:r>
      <w:r>
        <w:rPr>
          <w:kern w:val="16"/>
        </w:rPr>
        <w:t xml:space="preserve"> March </w:t>
      </w:r>
      <w:r w:rsidR="00A35779">
        <w:rPr>
          <w:kern w:val="16"/>
        </w:rPr>
        <w:t xml:space="preserve">and ended on the </w:t>
      </w:r>
      <w:r>
        <w:rPr>
          <w:kern w:val="16"/>
        </w:rPr>
        <w:t>31</w:t>
      </w:r>
      <w:r w:rsidRPr="00691578">
        <w:rPr>
          <w:kern w:val="16"/>
          <w:vertAlign w:val="superscript"/>
        </w:rPr>
        <w:t>st</w:t>
      </w:r>
      <w:r>
        <w:rPr>
          <w:kern w:val="16"/>
        </w:rPr>
        <w:t xml:space="preserve"> October. Table 1 shows the</w:t>
      </w:r>
      <w:r w:rsidR="008F01EA">
        <w:rPr>
          <w:kern w:val="16"/>
        </w:rPr>
        <w:t xml:space="preserve"> breakdown of the</w:t>
      </w:r>
      <w:r>
        <w:rPr>
          <w:kern w:val="16"/>
        </w:rPr>
        <w:t xml:space="preserve"> time allocated for different </w:t>
      </w:r>
      <w:r w:rsidR="008F01EA">
        <w:rPr>
          <w:kern w:val="16"/>
        </w:rPr>
        <w:t>machine activities</w:t>
      </w:r>
      <w:r w:rsidR="00A35779">
        <w:rPr>
          <w:kern w:val="16"/>
        </w:rPr>
        <w:t xml:space="preserve"> during this </w:t>
      </w:r>
      <w:r w:rsidR="00A35779">
        <w:rPr>
          <w:kern w:val="16"/>
        </w:rPr>
        <w:t>period</w:t>
      </w:r>
      <w:r w:rsidR="008F01EA">
        <w:rPr>
          <w:kern w:val="16"/>
        </w:rPr>
        <w:t>. Out of the 213 days, 1</w:t>
      </w:r>
      <w:r w:rsidR="008429F2">
        <w:rPr>
          <w:kern w:val="16"/>
        </w:rPr>
        <w:t>46</w:t>
      </w:r>
      <w:r w:rsidR="008F01EA">
        <w:rPr>
          <w:kern w:val="16"/>
        </w:rPr>
        <w:t xml:space="preserve"> were devoted to in</w:t>
      </w:r>
      <w:r w:rsidR="008429F2">
        <w:rPr>
          <w:kern w:val="16"/>
        </w:rPr>
        <w:t xml:space="preserve">tegrated luminosity production, plus </w:t>
      </w:r>
      <w:r w:rsidR="008F01EA">
        <w:rPr>
          <w:kern w:val="16"/>
        </w:rPr>
        <w:t xml:space="preserve">7 dedicated to the ‘special physics’ run with 2.5 km </w:t>
      </w:r>
      <w:r w:rsidR="008F01EA">
        <w:rPr>
          <w:rFonts w:ascii="Calibri" w:hAnsi="Calibri"/>
          <w:kern w:val="16"/>
        </w:rPr>
        <w:t>β</w:t>
      </w:r>
      <w:r w:rsidR="008429F2">
        <w:rPr>
          <w:kern w:val="16"/>
        </w:rPr>
        <w:t>*</w:t>
      </w:r>
      <w:r w:rsidR="008F01EA">
        <w:rPr>
          <w:kern w:val="16"/>
        </w:rPr>
        <w:t xml:space="preserve">. Beam commissioning and scrubbing took 33 and </w:t>
      </w:r>
      <w:r w:rsidR="00A35779">
        <w:rPr>
          <w:kern w:val="16"/>
        </w:rPr>
        <w:t>two</w:t>
      </w:r>
      <w:r w:rsidR="008F01EA">
        <w:rPr>
          <w:kern w:val="16"/>
        </w:rPr>
        <w:t xml:space="preserve"> days respectively. Machine Developments </w:t>
      </w:r>
      <w:r w:rsidR="00A35779">
        <w:rPr>
          <w:kern w:val="16"/>
        </w:rPr>
        <w:t xml:space="preserve">(MDs) </w:t>
      </w:r>
      <w:r w:rsidR="008F01EA">
        <w:rPr>
          <w:kern w:val="16"/>
        </w:rPr>
        <w:t xml:space="preserve">were carried out in </w:t>
      </w:r>
      <w:r w:rsidR="00A35779">
        <w:rPr>
          <w:kern w:val="16"/>
        </w:rPr>
        <w:t>five</w:t>
      </w:r>
      <w:r w:rsidR="008F01EA">
        <w:rPr>
          <w:kern w:val="16"/>
        </w:rPr>
        <w:t xml:space="preserve"> blocks, for a total of 20 days. Twenty-five hours were dedicated to ion cycle commissioning</w:t>
      </w:r>
      <w:r w:rsidR="00296364">
        <w:rPr>
          <w:kern w:val="16"/>
        </w:rPr>
        <w:t>, over two days</w:t>
      </w:r>
      <w:r w:rsidR="008F01EA">
        <w:rPr>
          <w:kern w:val="16"/>
        </w:rPr>
        <w:t>.</w:t>
      </w:r>
    </w:p>
    <w:p w14:paraId="03EEC2A8" w14:textId="63E2F540" w:rsidR="00930ADB" w:rsidRDefault="002D458C" w:rsidP="00930ADB">
      <w:pPr>
        <w:pStyle w:val="BodyTextIndent"/>
        <w:rPr>
          <w:kern w:val="16"/>
        </w:rPr>
      </w:pPr>
      <w:r>
        <w:rPr>
          <w:kern w:val="16"/>
        </w:rPr>
        <w:t xml:space="preserve"> </w:t>
      </w:r>
      <w:r w:rsidR="008F01EA">
        <w:rPr>
          <w:kern w:val="16"/>
        </w:rPr>
        <w:t>In the reference period, 7</w:t>
      </w:r>
      <w:r w:rsidR="007B482B">
        <w:rPr>
          <w:kern w:val="16"/>
        </w:rPr>
        <w:t>79</w:t>
      </w:r>
      <w:r w:rsidR="008F01EA">
        <w:rPr>
          <w:kern w:val="16"/>
        </w:rPr>
        <w:t xml:space="preserve"> faults were registered </w:t>
      </w:r>
      <w:r w:rsidR="00296364">
        <w:rPr>
          <w:kern w:val="16"/>
        </w:rPr>
        <w:t xml:space="preserve">and analysed </w:t>
      </w:r>
      <w:r w:rsidR="008F01EA">
        <w:rPr>
          <w:kern w:val="16"/>
        </w:rPr>
        <w:t>in</w:t>
      </w:r>
      <w:r w:rsidR="00296364">
        <w:rPr>
          <w:kern w:val="16"/>
        </w:rPr>
        <w:t xml:space="preserve"> the</w:t>
      </w:r>
      <w:r w:rsidR="008F01EA">
        <w:rPr>
          <w:kern w:val="16"/>
        </w:rPr>
        <w:t xml:space="preserve"> fault tracker, with 65 relevant parent/child relationships. In such cases</w:t>
      </w:r>
      <w:r w:rsidR="00C80642">
        <w:rPr>
          <w:kern w:val="16"/>
        </w:rPr>
        <w:t>,</w:t>
      </w:r>
      <w:r w:rsidR="008F01EA">
        <w:rPr>
          <w:kern w:val="16"/>
        </w:rPr>
        <w:t xml:space="preserve"> </w:t>
      </w:r>
      <w:r w:rsidR="00C80642">
        <w:rPr>
          <w:kern w:val="16"/>
        </w:rPr>
        <w:t xml:space="preserve">the occurrence </w:t>
      </w:r>
      <w:r w:rsidR="00EF723D">
        <w:rPr>
          <w:kern w:val="16"/>
        </w:rPr>
        <w:t xml:space="preserve">of </w:t>
      </w:r>
      <w:r w:rsidR="008F01EA">
        <w:rPr>
          <w:kern w:val="16"/>
        </w:rPr>
        <w:t xml:space="preserve">a primary </w:t>
      </w:r>
      <w:r w:rsidR="00C80642">
        <w:rPr>
          <w:kern w:val="16"/>
        </w:rPr>
        <w:t>failure/</w:t>
      </w:r>
      <w:r w:rsidR="008F01EA">
        <w:rPr>
          <w:kern w:val="16"/>
        </w:rPr>
        <w:t>event (parent) affects the performance of a number of secondary systems (children)</w:t>
      </w:r>
      <w:r w:rsidR="00930ADB">
        <w:rPr>
          <w:kern w:val="16"/>
        </w:rPr>
        <w:t>.</w:t>
      </w:r>
      <w:r w:rsidR="008F01EA">
        <w:rPr>
          <w:kern w:val="16"/>
        </w:rPr>
        <w:t xml:space="preserve"> It is important to account for these dependencies to correctly </w:t>
      </w:r>
      <w:r w:rsidR="00C80642">
        <w:rPr>
          <w:kern w:val="16"/>
        </w:rPr>
        <w:t>prioritize consolidation actions</w:t>
      </w:r>
      <w:r w:rsidR="008F01EA">
        <w:rPr>
          <w:kern w:val="16"/>
        </w:rPr>
        <w:t xml:space="preserve"> and identify the most effective failure mitigation strategies.</w:t>
      </w:r>
    </w:p>
    <w:p w14:paraId="02988C4D" w14:textId="34BB2253" w:rsidR="00296364" w:rsidRDefault="00296364" w:rsidP="00930ADB">
      <w:pPr>
        <w:pStyle w:val="BodyTextIndent"/>
        <w:rPr>
          <w:kern w:val="16"/>
        </w:rPr>
      </w:pPr>
      <w:r>
        <w:rPr>
          <w:kern w:val="16"/>
        </w:rPr>
        <w:t>Two</w:t>
      </w:r>
      <w:r w:rsidR="009F0C95">
        <w:rPr>
          <w:kern w:val="16"/>
        </w:rPr>
        <w:t xml:space="preserve"> new fault/downtime categories were introduced in 2016: ‘ventilation doors’ and ‘access management’.</w:t>
      </w:r>
    </w:p>
    <w:p w14:paraId="0A2093BC" w14:textId="3761B14C" w:rsidR="009F0C95" w:rsidRDefault="009F0C95" w:rsidP="00930ADB">
      <w:pPr>
        <w:pStyle w:val="BodyTextIndent"/>
        <w:rPr>
          <w:kern w:val="16"/>
        </w:rPr>
      </w:pPr>
      <w:r>
        <w:rPr>
          <w:kern w:val="16"/>
        </w:rPr>
        <w:t xml:space="preserve">Fig.s 1-2-3 show the evolution of the LHC performance in the three reference periods </w:t>
      </w:r>
      <w:r w:rsidR="0058135D">
        <w:rPr>
          <w:kern w:val="16"/>
        </w:rPr>
        <w:t>introduced in</w:t>
      </w:r>
      <w:r>
        <w:rPr>
          <w:kern w:val="16"/>
        </w:rPr>
        <w:t xml:space="preserve"> Table 1.</w:t>
      </w:r>
    </w:p>
    <w:p w14:paraId="3079AAC7" w14:textId="77777777" w:rsidR="00BB59EB" w:rsidRDefault="00BB59EB" w:rsidP="00930ADB">
      <w:pPr>
        <w:pStyle w:val="BodyTextIndent"/>
        <w:rPr>
          <w:kern w:val="16"/>
        </w:rPr>
      </w:pPr>
    </w:p>
    <w:p w14:paraId="2DF965F7" w14:textId="0D7E0886" w:rsidR="00426B6F" w:rsidRDefault="009F0C95" w:rsidP="00426B6F">
      <w:pPr>
        <w:pStyle w:val="BodyTextIndent"/>
        <w:ind w:firstLine="0"/>
        <w:rPr>
          <w:kern w:val="16"/>
        </w:rPr>
      </w:pPr>
      <w:r>
        <w:rPr>
          <w:noProof/>
          <w:kern w:val="16"/>
          <w:lang w:eastAsia="en-GB"/>
        </w:rPr>
        <w:drawing>
          <wp:inline distT="0" distB="0" distL="0" distR="0" wp14:anchorId="24409FBA" wp14:editId="5FAF673D">
            <wp:extent cx="2942307" cy="1833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7969" cy="1843642"/>
                    </a:xfrm>
                    <a:prstGeom prst="rect">
                      <a:avLst/>
                    </a:prstGeom>
                    <a:noFill/>
                  </pic:spPr>
                </pic:pic>
              </a:graphicData>
            </a:graphic>
          </wp:inline>
        </w:drawing>
      </w:r>
    </w:p>
    <w:p w14:paraId="5F82ED31" w14:textId="6FE75D08" w:rsidR="00BB59EB" w:rsidRDefault="00BB59EB" w:rsidP="00426B6F">
      <w:pPr>
        <w:pStyle w:val="BodyTextIndent"/>
        <w:ind w:firstLine="0"/>
        <w:rPr>
          <w:kern w:val="16"/>
        </w:rPr>
      </w:pPr>
      <w:r>
        <w:rPr>
          <w:kern w:val="16"/>
        </w:rPr>
        <w:t>Figure 1</w:t>
      </w:r>
      <w:r w:rsidRPr="004A4577">
        <w:rPr>
          <w:kern w:val="16"/>
        </w:rPr>
        <w:t xml:space="preserve">: </w:t>
      </w:r>
      <w:r>
        <w:rPr>
          <w:kern w:val="16"/>
        </w:rPr>
        <w:t>LHC Mode breakdown during the 2016 proton run (Restart-TS1).</w:t>
      </w:r>
    </w:p>
    <w:p w14:paraId="67187450" w14:textId="489ADBC4" w:rsidR="009F0C95" w:rsidRDefault="009F0C95" w:rsidP="00426B6F">
      <w:pPr>
        <w:pStyle w:val="BodyTextIndent"/>
        <w:ind w:firstLine="0"/>
        <w:rPr>
          <w:kern w:val="16"/>
        </w:rPr>
      </w:pPr>
      <w:r w:rsidRPr="009F0C95">
        <w:rPr>
          <w:noProof/>
          <w:kern w:val="16"/>
          <w:lang w:eastAsia="en-GB"/>
        </w:rPr>
        <w:drawing>
          <wp:inline distT="0" distB="0" distL="0" distR="0" wp14:anchorId="77EDB741" wp14:editId="28B63348">
            <wp:extent cx="2665405" cy="1730375"/>
            <wp:effectExtent l="0" t="0" r="1905" b="3175"/>
            <wp:docPr id="13"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2673722" cy="1735774"/>
                    </a:xfrm>
                    <a:prstGeom prst="rect">
                      <a:avLst/>
                    </a:prstGeom>
                  </pic:spPr>
                </pic:pic>
              </a:graphicData>
            </a:graphic>
          </wp:inline>
        </w:drawing>
      </w:r>
    </w:p>
    <w:p w14:paraId="6CD94C7A" w14:textId="61B25F97" w:rsidR="00BB59EB" w:rsidRDefault="00BB59EB" w:rsidP="00426B6F">
      <w:pPr>
        <w:pStyle w:val="BodyTextIndent"/>
        <w:ind w:firstLine="0"/>
        <w:rPr>
          <w:kern w:val="16"/>
        </w:rPr>
      </w:pPr>
      <w:r>
        <w:rPr>
          <w:kern w:val="16"/>
        </w:rPr>
        <w:t>Figure 2</w:t>
      </w:r>
      <w:r w:rsidRPr="004A4577">
        <w:rPr>
          <w:kern w:val="16"/>
        </w:rPr>
        <w:t xml:space="preserve">: </w:t>
      </w:r>
      <w:r>
        <w:rPr>
          <w:kern w:val="16"/>
        </w:rPr>
        <w:t>LHC Mode breakdown during the 2016 proton run (TS1-TS2).</w:t>
      </w:r>
    </w:p>
    <w:p w14:paraId="70DA115E" w14:textId="627759C0" w:rsidR="009F0C95" w:rsidRDefault="009F0C95" w:rsidP="00426B6F">
      <w:pPr>
        <w:pStyle w:val="BodyTextIndent"/>
        <w:ind w:firstLine="0"/>
        <w:rPr>
          <w:kern w:val="16"/>
        </w:rPr>
      </w:pPr>
      <w:r w:rsidRPr="009F0C95">
        <w:rPr>
          <w:noProof/>
          <w:kern w:val="16"/>
          <w:lang w:eastAsia="en-GB"/>
        </w:rPr>
        <w:lastRenderedPageBreak/>
        <w:drawing>
          <wp:inline distT="0" distB="0" distL="0" distR="0" wp14:anchorId="17BAFF75" wp14:editId="7FDE7B38">
            <wp:extent cx="2968625" cy="1738630"/>
            <wp:effectExtent l="0" t="0" r="3175"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2968625" cy="1738630"/>
                    </a:xfrm>
                    <a:prstGeom prst="rect">
                      <a:avLst/>
                    </a:prstGeom>
                  </pic:spPr>
                </pic:pic>
              </a:graphicData>
            </a:graphic>
          </wp:inline>
        </w:drawing>
      </w:r>
    </w:p>
    <w:p w14:paraId="3D9E3F6E" w14:textId="3F5A8F3F" w:rsidR="00426B6F" w:rsidRDefault="00BB59EB" w:rsidP="00426B6F">
      <w:pPr>
        <w:pStyle w:val="BodyTextIndent"/>
        <w:rPr>
          <w:kern w:val="16"/>
        </w:rPr>
      </w:pPr>
      <w:r>
        <w:rPr>
          <w:kern w:val="16"/>
        </w:rPr>
        <w:t xml:space="preserve">Figure </w:t>
      </w:r>
      <w:r w:rsidR="009F0C95">
        <w:rPr>
          <w:kern w:val="16"/>
        </w:rPr>
        <w:t>3</w:t>
      </w:r>
      <w:r w:rsidR="00426B6F" w:rsidRPr="004A4577">
        <w:rPr>
          <w:kern w:val="16"/>
        </w:rPr>
        <w:t xml:space="preserve">: </w:t>
      </w:r>
      <w:r w:rsidR="009F0C95">
        <w:rPr>
          <w:kern w:val="16"/>
        </w:rPr>
        <w:t>LHC Mode breakdown during the 2016 proton run</w:t>
      </w:r>
      <w:r>
        <w:rPr>
          <w:kern w:val="16"/>
        </w:rPr>
        <w:t xml:space="preserve"> (TS2-TS3)</w:t>
      </w:r>
      <w:r w:rsidR="009F0C95">
        <w:rPr>
          <w:kern w:val="16"/>
        </w:rPr>
        <w:t>.</w:t>
      </w:r>
    </w:p>
    <w:p w14:paraId="130A1DD7" w14:textId="77777777" w:rsidR="00BB59EB" w:rsidRDefault="00BB59EB" w:rsidP="00426B6F">
      <w:pPr>
        <w:pStyle w:val="BodyTextIndent"/>
        <w:rPr>
          <w:kern w:val="16"/>
        </w:rPr>
      </w:pPr>
    </w:p>
    <w:p w14:paraId="4E3AFE57" w14:textId="204B9A7A" w:rsidR="009F0C95" w:rsidRDefault="009F0C95" w:rsidP="00930ADB">
      <w:pPr>
        <w:pStyle w:val="BodyTextIndent"/>
        <w:rPr>
          <w:kern w:val="16"/>
        </w:rPr>
      </w:pPr>
      <w:r>
        <w:rPr>
          <w:kern w:val="16"/>
        </w:rPr>
        <w:t>‘Operations’ includes the nominal cycle, measurements, injection tuning</w:t>
      </w:r>
      <w:r w:rsidR="00EF723D">
        <w:rPr>
          <w:kern w:val="16"/>
        </w:rPr>
        <w:t xml:space="preserve"> and</w:t>
      </w:r>
      <w:r>
        <w:rPr>
          <w:kern w:val="16"/>
        </w:rPr>
        <w:t xml:space="preserve"> planned accesses</w:t>
      </w:r>
      <w:r w:rsidR="00EF723D">
        <w:rPr>
          <w:kern w:val="16"/>
        </w:rPr>
        <w:t xml:space="preserve"> for machine interventions</w:t>
      </w:r>
      <w:r>
        <w:rPr>
          <w:kern w:val="16"/>
        </w:rPr>
        <w:t xml:space="preserve">. </w:t>
      </w:r>
    </w:p>
    <w:p w14:paraId="79AE52A3" w14:textId="1024FAFF" w:rsidR="00A702C0" w:rsidRDefault="009F0C95" w:rsidP="00930ADB">
      <w:pPr>
        <w:pStyle w:val="BodyTextIndent"/>
        <w:rPr>
          <w:kern w:val="16"/>
        </w:rPr>
      </w:pPr>
      <w:r>
        <w:rPr>
          <w:kern w:val="16"/>
        </w:rPr>
        <w:t xml:space="preserve">In the period </w:t>
      </w:r>
      <w:r w:rsidR="00E66F25">
        <w:rPr>
          <w:kern w:val="16"/>
        </w:rPr>
        <w:t>between</w:t>
      </w:r>
      <w:r>
        <w:rPr>
          <w:kern w:val="16"/>
        </w:rPr>
        <w:t xml:space="preserve"> the restart of operation with beam to the first Technical stop (TS1), the LHC experienced</w:t>
      </w:r>
      <w:r w:rsidR="00A35779">
        <w:rPr>
          <w:kern w:val="16"/>
        </w:rPr>
        <w:t xml:space="preserve"> 45</w:t>
      </w:r>
      <w:r w:rsidR="00703F75">
        <w:rPr>
          <w:kern w:val="16"/>
        </w:rPr>
        <w:t> </w:t>
      </w:r>
      <w:r w:rsidR="00A35779">
        <w:rPr>
          <w:kern w:val="16"/>
        </w:rPr>
        <w:t>% fault / downtime</w:t>
      </w:r>
      <w:r w:rsidR="00E20DB0">
        <w:rPr>
          <w:kern w:val="16"/>
        </w:rPr>
        <w:t xml:space="preserve"> </w:t>
      </w:r>
      <w:r w:rsidR="00A35779">
        <w:rPr>
          <w:kern w:val="16"/>
        </w:rPr>
        <w:t>–</w:t>
      </w:r>
      <w:r>
        <w:rPr>
          <w:kern w:val="16"/>
        </w:rPr>
        <w:t xml:space="preserve"> two long </w:t>
      </w:r>
      <w:r w:rsidR="00A35779">
        <w:rPr>
          <w:kern w:val="16"/>
        </w:rPr>
        <w:t>periods of unavailability within this were</w:t>
      </w:r>
      <w:r>
        <w:rPr>
          <w:kern w:val="16"/>
        </w:rPr>
        <w:t xml:space="preserve"> due </w:t>
      </w:r>
      <w:r w:rsidR="00E66F25">
        <w:rPr>
          <w:kern w:val="16"/>
        </w:rPr>
        <w:t xml:space="preserve">to </w:t>
      </w:r>
      <w:r>
        <w:rPr>
          <w:kern w:val="16"/>
        </w:rPr>
        <w:t>the failure of a 66 kV transformer in P</w:t>
      </w:r>
      <w:r w:rsidR="00A35779">
        <w:rPr>
          <w:kern w:val="16"/>
        </w:rPr>
        <w:t xml:space="preserve">oint </w:t>
      </w:r>
      <w:r>
        <w:rPr>
          <w:kern w:val="16"/>
        </w:rPr>
        <w:t>8 (</w:t>
      </w:r>
      <w:r w:rsidR="007A6947">
        <w:rPr>
          <w:kern w:val="16"/>
        </w:rPr>
        <w:t>about 6 days</w:t>
      </w:r>
      <w:r>
        <w:rPr>
          <w:kern w:val="16"/>
        </w:rPr>
        <w:t>) and the mains power supply of the PS (</w:t>
      </w:r>
      <w:r w:rsidR="007A6947" w:rsidRPr="007A6947">
        <w:rPr>
          <w:kern w:val="16"/>
        </w:rPr>
        <w:t>about 5 days</w:t>
      </w:r>
      <w:r>
        <w:rPr>
          <w:kern w:val="16"/>
        </w:rPr>
        <w:t>)</w:t>
      </w:r>
      <w:r w:rsidR="00A35779">
        <w:rPr>
          <w:kern w:val="16"/>
        </w:rPr>
        <w:t xml:space="preserve">. </w:t>
      </w:r>
      <w:r>
        <w:rPr>
          <w:kern w:val="16"/>
        </w:rPr>
        <w:t xml:space="preserve"> </w:t>
      </w:r>
      <w:r w:rsidR="00E20DB0">
        <w:rPr>
          <w:kern w:val="16"/>
        </w:rPr>
        <w:t xml:space="preserve">The availability increased significantly in the period from TS1 to TS2, </w:t>
      </w:r>
      <w:r w:rsidR="00EF723D">
        <w:rPr>
          <w:kern w:val="16"/>
        </w:rPr>
        <w:t>reaching</w:t>
      </w:r>
      <w:r w:rsidR="00E20DB0">
        <w:rPr>
          <w:kern w:val="16"/>
        </w:rPr>
        <w:t xml:space="preserve"> the record of physics efficiency for the LHC (58 % of time in stable beams). This was achieved despite another long stop (</w:t>
      </w:r>
      <w:r w:rsidR="009922E3">
        <w:rPr>
          <w:kern w:val="16"/>
        </w:rPr>
        <w:t xml:space="preserve">about </w:t>
      </w:r>
      <w:r w:rsidR="00E20DB0">
        <w:rPr>
          <w:kern w:val="16"/>
        </w:rPr>
        <w:t>3 days) due to a flood in P</w:t>
      </w:r>
      <w:r w:rsidR="00A35779">
        <w:rPr>
          <w:kern w:val="16"/>
        </w:rPr>
        <w:t>oin</w:t>
      </w:r>
      <w:r w:rsidR="00E20DB0">
        <w:rPr>
          <w:kern w:val="16"/>
        </w:rPr>
        <w:t>t</w:t>
      </w:r>
      <w:r w:rsidR="00A35779">
        <w:rPr>
          <w:kern w:val="16"/>
        </w:rPr>
        <w:t xml:space="preserve"> </w:t>
      </w:r>
      <w:r w:rsidR="00E20DB0">
        <w:rPr>
          <w:kern w:val="16"/>
        </w:rPr>
        <w:t>3, which affected in particular the control systems of the collimators.</w:t>
      </w:r>
      <w:r w:rsidR="00A702C0">
        <w:rPr>
          <w:kern w:val="16"/>
        </w:rPr>
        <w:t xml:space="preserve"> </w:t>
      </w:r>
      <w:r w:rsidR="00CF12AC">
        <w:rPr>
          <w:kern w:val="16"/>
        </w:rPr>
        <w:t>In the last period of the proton run</w:t>
      </w:r>
      <w:r w:rsidR="00A35779">
        <w:rPr>
          <w:kern w:val="16"/>
        </w:rPr>
        <w:t xml:space="preserve"> from Technical Stop 2 to 3</w:t>
      </w:r>
      <w:r w:rsidR="00CF12AC">
        <w:rPr>
          <w:kern w:val="16"/>
        </w:rPr>
        <w:t>, the performance was still excellent (</w:t>
      </w:r>
      <w:r w:rsidR="00E66F25">
        <w:rPr>
          <w:kern w:val="16"/>
        </w:rPr>
        <w:t>achieving</w:t>
      </w:r>
      <w:r w:rsidR="00A35779">
        <w:rPr>
          <w:kern w:val="16"/>
        </w:rPr>
        <w:t xml:space="preserve"> </w:t>
      </w:r>
      <w:r w:rsidR="00CF12AC">
        <w:rPr>
          <w:kern w:val="16"/>
        </w:rPr>
        <w:t>54 % physics efficiency).</w:t>
      </w:r>
    </w:p>
    <w:p w14:paraId="2887A46B" w14:textId="15795B49" w:rsidR="00CF12AC" w:rsidRDefault="00CF12AC" w:rsidP="00930ADB">
      <w:pPr>
        <w:pStyle w:val="BodyTextIndent"/>
        <w:rPr>
          <w:kern w:val="16"/>
        </w:rPr>
      </w:pPr>
      <w:r>
        <w:rPr>
          <w:kern w:val="16"/>
        </w:rPr>
        <w:t>Combining these figures for the whole proton run yields the results shown in Fig. 4 (49 % average physics efficiency over the year)</w:t>
      </w:r>
      <w:r w:rsidR="000934E7">
        <w:rPr>
          <w:kern w:val="16"/>
        </w:rPr>
        <w:t>, for a total of more than 1800 h in stable beams</w:t>
      </w:r>
      <w:r>
        <w:rPr>
          <w:kern w:val="16"/>
        </w:rPr>
        <w:t>. For comparison, t</w:t>
      </w:r>
      <w:r w:rsidR="00EF723D">
        <w:rPr>
          <w:kern w:val="16"/>
        </w:rPr>
        <w:t>he 25 ns</w:t>
      </w:r>
      <w:r>
        <w:rPr>
          <w:kern w:val="16"/>
        </w:rPr>
        <w:t xml:space="preserve"> proton run </w:t>
      </w:r>
      <w:r w:rsidR="00EF723D">
        <w:rPr>
          <w:kern w:val="16"/>
        </w:rPr>
        <w:t>in 2015</w:t>
      </w:r>
      <w:r>
        <w:rPr>
          <w:kern w:val="16"/>
        </w:rPr>
        <w:t xml:space="preserve"> yielded 33 % physics efficiency, which implies a gain</w:t>
      </w:r>
      <w:r w:rsidR="00697049">
        <w:rPr>
          <w:kern w:val="16"/>
        </w:rPr>
        <w:t xml:space="preserve"> in 2016</w:t>
      </w:r>
      <w:r>
        <w:rPr>
          <w:kern w:val="16"/>
        </w:rPr>
        <w:t xml:space="preserve"> of more than 15 %.</w:t>
      </w:r>
      <w:r w:rsidR="007B482B">
        <w:rPr>
          <w:kern w:val="16"/>
        </w:rPr>
        <w:t xml:space="preserve"> </w:t>
      </w:r>
      <w:r w:rsidR="00A35779">
        <w:rPr>
          <w:kern w:val="16"/>
        </w:rPr>
        <w:t>Also of note was t</w:t>
      </w:r>
      <w:r w:rsidR="007B482B">
        <w:rPr>
          <w:kern w:val="16"/>
        </w:rPr>
        <w:t>he fraction of time dedicated to pre-cycles</w:t>
      </w:r>
      <w:r w:rsidR="00A35779">
        <w:rPr>
          <w:kern w:val="16"/>
        </w:rPr>
        <w:t>; this</w:t>
      </w:r>
      <w:r w:rsidR="007B482B">
        <w:rPr>
          <w:kern w:val="16"/>
        </w:rPr>
        <w:t xml:space="preserve"> was reduced by 50 %, thanks to the reduced number of failures requiring pre-cycles and to the shorter pre-cycle duration [</w:t>
      </w:r>
      <w:r w:rsidR="00EF723D">
        <w:rPr>
          <w:kern w:val="16"/>
        </w:rPr>
        <w:t>5</w:t>
      </w:r>
      <w:r w:rsidR="007B482B">
        <w:rPr>
          <w:kern w:val="16"/>
        </w:rPr>
        <w:t>].</w:t>
      </w:r>
    </w:p>
    <w:p w14:paraId="5469633E" w14:textId="77777777" w:rsidR="00BB59EB" w:rsidRDefault="00BB59EB" w:rsidP="00930ADB">
      <w:pPr>
        <w:pStyle w:val="BodyTextIndent"/>
        <w:rPr>
          <w:kern w:val="16"/>
        </w:rPr>
      </w:pPr>
    </w:p>
    <w:p w14:paraId="0DD9452D" w14:textId="7ABD00AE" w:rsidR="008D1056" w:rsidRDefault="008D1056" w:rsidP="008D1056">
      <w:pPr>
        <w:pStyle w:val="BodyTextIndent"/>
        <w:ind w:firstLine="0"/>
        <w:rPr>
          <w:kern w:val="16"/>
        </w:rPr>
      </w:pPr>
      <w:r w:rsidRPr="008D1056">
        <w:rPr>
          <w:noProof/>
          <w:kern w:val="16"/>
          <w:lang w:eastAsia="en-GB"/>
        </w:rPr>
        <w:drawing>
          <wp:inline distT="0" distB="0" distL="0" distR="0" wp14:anchorId="3FD00819" wp14:editId="1A64C585">
            <wp:extent cx="2968625" cy="1739265"/>
            <wp:effectExtent l="0" t="0" r="317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stretch>
                      <a:fillRect/>
                    </a:stretch>
                  </pic:blipFill>
                  <pic:spPr>
                    <a:xfrm>
                      <a:off x="0" y="0"/>
                      <a:ext cx="2968625" cy="1739265"/>
                    </a:xfrm>
                    <a:prstGeom prst="rect">
                      <a:avLst/>
                    </a:prstGeom>
                  </pic:spPr>
                </pic:pic>
              </a:graphicData>
            </a:graphic>
          </wp:inline>
        </w:drawing>
      </w:r>
    </w:p>
    <w:p w14:paraId="7E0E1945" w14:textId="77777777" w:rsidR="00697049" w:rsidRDefault="008D1056" w:rsidP="00697049">
      <w:pPr>
        <w:pStyle w:val="BodyTextIndent"/>
        <w:rPr>
          <w:kern w:val="16"/>
        </w:rPr>
      </w:pPr>
      <w:r w:rsidRPr="004A4577">
        <w:rPr>
          <w:kern w:val="16"/>
        </w:rPr>
        <w:t xml:space="preserve">Figure </w:t>
      </w:r>
      <w:r>
        <w:rPr>
          <w:kern w:val="16"/>
        </w:rPr>
        <w:t>4</w:t>
      </w:r>
      <w:r w:rsidRPr="004A4577">
        <w:rPr>
          <w:kern w:val="16"/>
        </w:rPr>
        <w:t xml:space="preserve">: </w:t>
      </w:r>
      <w:r>
        <w:rPr>
          <w:kern w:val="16"/>
        </w:rPr>
        <w:t>LHC Mode breakdown during the 2016 proton run</w:t>
      </w:r>
      <w:r w:rsidR="00BB59EB">
        <w:rPr>
          <w:kern w:val="16"/>
        </w:rPr>
        <w:t xml:space="preserve"> (all)</w:t>
      </w:r>
      <w:r>
        <w:rPr>
          <w:kern w:val="16"/>
        </w:rPr>
        <w:t>.</w:t>
      </w:r>
    </w:p>
    <w:p w14:paraId="15832CF7" w14:textId="77777777" w:rsidR="00EB1D5B" w:rsidRDefault="00EB1D5B" w:rsidP="00697049">
      <w:pPr>
        <w:pStyle w:val="BodyTextIndent"/>
        <w:rPr>
          <w:kern w:val="16"/>
        </w:rPr>
      </w:pPr>
    </w:p>
    <w:p w14:paraId="6F08A728" w14:textId="2082D903" w:rsidR="00697049" w:rsidRDefault="00697049" w:rsidP="00697049">
      <w:pPr>
        <w:pStyle w:val="BodyTextIndent"/>
        <w:rPr>
          <w:kern w:val="16"/>
        </w:rPr>
      </w:pPr>
      <w:r>
        <w:rPr>
          <w:kern w:val="16"/>
        </w:rPr>
        <w:t>Fig. 5 shows the evolution of the availability by week and relates it to the physics production.</w:t>
      </w:r>
      <w:r w:rsidR="009B6203">
        <w:rPr>
          <w:kern w:val="16"/>
        </w:rPr>
        <w:t xml:space="preserve"> ‘Incomplete weeks’ </w:t>
      </w:r>
      <w:r w:rsidR="009B6203">
        <w:rPr>
          <w:kern w:val="16"/>
        </w:rPr>
        <w:t>indicate that the corresponding week was not entirely devoted to luminosity production (e.g. for technical stops or MDs).</w:t>
      </w:r>
      <w:r>
        <w:rPr>
          <w:kern w:val="16"/>
        </w:rPr>
        <w:t xml:space="preserve"> Several weeks exhibited more than 90 % availability with more than 3 fb</w:t>
      </w:r>
      <w:r w:rsidRPr="00697049">
        <w:rPr>
          <w:kern w:val="16"/>
          <w:vertAlign w:val="superscript"/>
        </w:rPr>
        <w:t>-1</w:t>
      </w:r>
      <w:r>
        <w:rPr>
          <w:kern w:val="16"/>
        </w:rPr>
        <w:t xml:space="preserve"> produced.</w:t>
      </w:r>
      <w:r w:rsidR="00BA418B">
        <w:rPr>
          <w:kern w:val="16"/>
        </w:rPr>
        <w:t xml:space="preserve"> Weeks 17 and 21 are characterised by a low availability (about 30 %) and correspond </w:t>
      </w:r>
      <w:r w:rsidR="00E66F25">
        <w:rPr>
          <w:kern w:val="16"/>
        </w:rPr>
        <w:t xml:space="preserve">to </w:t>
      </w:r>
      <w:r w:rsidR="00BA418B">
        <w:rPr>
          <w:kern w:val="16"/>
        </w:rPr>
        <w:t>the occurrence of the aforementioned 66 kV transformer failure in P</w:t>
      </w:r>
      <w:r w:rsidR="00A35779">
        <w:rPr>
          <w:kern w:val="16"/>
        </w:rPr>
        <w:t>oin</w:t>
      </w:r>
      <w:r w:rsidR="00BA418B">
        <w:rPr>
          <w:kern w:val="16"/>
        </w:rPr>
        <w:t>t</w:t>
      </w:r>
      <w:r w:rsidR="00A35779">
        <w:rPr>
          <w:kern w:val="16"/>
        </w:rPr>
        <w:t xml:space="preserve"> </w:t>
      </w:r>
      <w:r w:rsidR="00BA418B">
        <w:rPr>
          <w:kern w:val="16"/>
        </w:rPr>
        <w:t xml:space="preserve">8 and the failure of </w:t>
      </w:r>
      <w:r w:rsidR="00E66F25">
        <w:rPr>
          <w:kern w:val="16"/>
        </w:rPr>
        <w:t xml:space="preserve">the </w:t>
      </w:r>
      <w:r w:rsidR="00BA418B">
        <w:rPr>
          <w:kern w:val="16"/>
        </w:rPr>
        <w:t>PS main power supply, respectively.</w:t>
      </w:r>
    </w:p>
    <w:p w14:paraId="3808C4DE" w14:textId="77777777" w:rsidR="002D458C" w:rsidRDefault="002D458C" w:rsidP="00A5649D">
      <w:pPr>
        <w:pStyle w:val="BodyTextIndent"/>
        <w:rPr>
          <w:kern w:val="16"/>
        </w:rPr>
      </w:pPr>
    </w:p>
    <w:p w14:paraId="43755722" w14:textId="14F19CB5" w:rsidR="002D458C" w:rsidRDefault="009B6203" w:rsidP="002D458C">
      <w:pPr>
        <w:pStyle w:val="BodyTextIndent"/>
        <w:ind w:firstLine="0"/>
        <w:rPr>
          <w:kern w:val="16"/>
        </w:rPr>
      </w:pPr>
      <w:r w:rsidRPr="009B6203">
        <w:rPr>
          <w:noProof/>
          <w:kern w:val="16"/>
          <w:lang w:eastAsia="en-GB"/>
        </w:rPr>
        <w:drawing>
          <wp:inline distT="0" distB="0" distL="0" distR="0" wp14:anchorId="14157D82" wp14:editId="73B587AA">
            <wp:extent cx="3041650" cy="1989597"/>
            <wp:effectExtent l="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3046716" cy="1992911"/>
                    </a:xfrm>
                    <a:prstGeom prst="rect">
                      <a:avLst/>
                    </a:prstGeom>
                  </pic:spPr>
                </pic:pic>
              </a:graphicData>
            </a:graphic>
          </wp:inline>
        </w:drawing>
      </w:r>
    </w:p>
    <w:p w14:paraId="079C8F11" w14:textId="7B520F76" w:rsidR="002D458C" w:rsidRDefault="002D458C" w:rsidP="002D458C">
      <w:pPr>
        <w:pStyle w:val="BodyTextIndent"/>
        <w:jc w:val="center"/>
        <w:rPr>
          <w:kern w:val="16"/>
        </w:rPr>
      </w:pPr>
      <w:r w:rsidRPr="004A4577">
        <w:rPr>
          <w:kern w:val="16"/>
        </w:rPr>
        <w:t xml:space="preserve">Figure </w:t>
      </w:r>
      <w:r w:rsidR="009B6203">
        <w:rPr>
          <w:kern w:val="16"/>
        </w:rPr>
        <w:t>5</w:t>
      </w:r>
      <w:r w:rsidRPr="004A4577">
        <w:rPr>
          <w:kern w:val="16"/>
        </w:rPr>
        <w:t xml:space="preserve">: </w:t>
      </w:r>
      <w:r w:rsidR="00ED1472">
        <w:rPr>
          <w:kern w:val="16"/>
        </w:rPr>
        <w:t xml:space="preserve">Availability (blue) and luminosity production (purple) </w:t>
      </w:r>
      <w:r>
        <w:rPr>
          <w:kern w:val="16"/>
        </w:rPr>
        <w:t xml:space="preserve">by </w:t>
      </w:r>
      <w:r w:rsidRPr="002D458C">
        <w:rPr>
          <w:kern w:val="16"/>
        </w:rPr>
        <w:t>week in 201</w:t>
      </w:r>
      <w:r w:rsidR="00ED1472">
        <w:rPr>
          <w:kern w:val="16"/>
        </w:rPr>
        <w:t>6</w:t>
      </w:r>
      <w:r w:rsidR="001C36D4">
        <w:rPr>
          <w:kern w:val="16"/>
        </w:rPr>
        <w:t>.</w:t>
      </w:r>
    </w:p>
    <w:p w14:paraId="11C3FE61" w14:textId="77777777" w:rsidR="001C36D4" w:rsidRDefault="001C36D4" w:rsidP="002D458C">
      <w:pPr>
        <w:pStyle w:val="BodyTextIndent"/>
        <w:jc w:val="center"/>
        <w:rPr>
          <w:kern w:val="16"/>
        </w:rPr>
      </w:pPr>
    </w:p>
    <w:p w14:paraId="745F942A" w14:textId="0D1CBCBC" w:rsidR="001C36D4" w:rsidRDefault="00EB1D5B" w:rsidP="001C36D4">
      <w:pPr>
        <w:pStyle w:val="BodyTextIndent"/>
        <w:rPr>
          <w:kern w:val="16"/>
        </w:rPr>
      </w:pPr>
      <w:r>
        <w:rPr>
          <w:kern w:val="16"/>
        </w:rPr>
        <w:t xml:space="preserve">The increased machine availability in 2016 </w:t>
      </w:r>
      <w:r w:rsidR="000934E7">
        <w:rPr>
          <w:kern w:val="16"/>
        </w:rPr>
        <w:t>is</w:t>
      </w:r>
      <w:r>
        <w:rPr>
          <w:kern w:val="16"/>
        </w:rPr>
        <w:t xml:space="preserve"> related also to the significant reduction of</w:t>
      </w:r>
      <w:r w:rsidR="00CF2E43">
        <w:rPr>
          <w:kern w:val="16"/>
        </w:rPr>
        <w:t xml:space="preserve"> the number of</w:t>
      </w:r>
      <w:r>
        <w:rPr>
          <w:kern w:val="16"/>
        </w:rPr>
        <w:t xml:space="preserve"> premature dumps with respect to previous runs. Fig. 6 shows the ratio of fills reaching stable beams which are prematurely dumped due to failures or intentionally by LHC operators. In total</w:t>
      </w:r>
      <w:r w:rsidR="00E66F25">
        <w:rPr>
          <w:kern w:val="16"/>
        </w:rPr>
        <w:t>,</w:t>
      </w:r>
      <w:r>
        <w:rPr>
          <w:kern w:val="16"/>
        </w:rPr>
        <w:t xml:space="preserve"> 53 % of the fills were dumped due to failures (5 % due to radiation effects) and 47 % by operators. In 2015 about 70 % of the fills were dumped by failures, highlighting an improvement </w:t>
      </w:r>
      <w:r w:rsidR="00F00EC8">
        <w:rPr>
          <w:kern w:val="16"/>
        </w:rPr>
        <w:t xml:space="preserve">also in this respect </w:t>
      </w:r>
      <w:r>
        <w:rPr>
          <w:kern w:val="16"/>
        </w:rPr>
        <w:t>of 15-20</w:t>
      </w:r>
      <w:r w:rsidR="00703F75">
        <w:rPr>
          <w:kern w:val="16"/>
        </w:rPr>
        <w:t> </w:t>
      </w:r>
      <w:r>
        <w:rPr>
          <w:kern w:val="16"/>
        </w:rPr>
        <w:t>%. Many factors contribute to this achievement, the main ones being:</w:t>
      </w:r>
    </w:p>
    <w:p w14:paraId="3A7824A9" w14:textId="5A83B0F1" w:rsidR="00EB1D5B" w:rsidRDefault="00EB1D5B" w:rsidP="00EB1D5B">
      <w:pPr>
        <w:pStyle w:val="BodyTextIndent"/>
        <w:numPr>
          <w:ilvl w:val="0"/>
          <w:numId w:val="31"/>
        </w:numPr>
        <w:rPr>
          <w:kern w:val="16"/>
        </w:rPr>
      </w:pPr>
      <w:r>
        <w:rPr>
          <w:kern w:val="16"/>
        </w:rPr>
        <w:t>The optimization of BLM thresholds in the LHC arc</w:t>
      </w:r>
      <w:r w:rsidR="003B2243">
        <w:rPr>
          <w:kern w:val="16"/>
        </w:rPr>
        <w:t>s</w:t>
      </w:r>
      <w:r>
        <w:rPr>
          <w:kern w:val="16"/>
        </w:rPr>
        <w:t>, which allowed limiting the number of unnecessary dumps</w:t>
      </w:r>
      <w:r w:rsidR="001D43A0">
        <w:rPr>
          <w:kern w:val="16"/>
        </w:rPr>
        <w:t xml:space="preserve"> due to UFOs</w:t>
      </w:r>
    </w:p>
    <w:p w14:paraId="756BEC9C" w14:textId="0487FE72" w:rsidR="00F460DA" w:rsidRDefault="00EB1D5B" w:rsidP="00EF723D">
      <w:pPr>
        <w:pStyle w:val="BodyTextIndent"/>
        <w:numPr>
          <w:ilvl w:val="0"/>
          <w:numId w:val="31"/>
        </w:numPr>
        <w:rPr>
          <w:kern w:val="16"/>
        </w:rPr>
      </w:pPr>
      <w:r>
        <w:rPr>
          <w:kern w:val="16"/>
        </w:rPr>
        <w:t>The low number of radiation-induced failures, thanks to</w:t>
      </w:r>
      <w:r w:rsidR="003B2243">
        <w:rPr>
          <w:kern w:val="16"/>
        </w:rPr>
        <w:t xml:space="preserve"> lower</w:t>
      </w:r>
      <w:r>
        <w:rPr>
          <w:kern w:val="16"/>
        </w:rPr>
        <w:t xml:space="preserve"> radiation levels in the arcs</w:t>
      </w:r>
      <w:r w:rsidR="003B2243">
        <w:rPr>
          <w:kern w:val="16"/>
        </w:rPr>
        <w:t xml:space="preserve"> than expected and the mitigation measures deployed in LS1 and the YETS</w:t>
      </w:r>
      <w:r w:rsidR="00A35779">
        <w:rPr>
          <w:kern w:val="16"/>
        </w:rPr>
        <w:t xml:space="preserve"> </w:t>
      </w:r>
      <w:r w:rsidR="003B2243">
        <w:rPr>
          <w:kern w:val="16"/>
        </w:rPr>
        <w:t>15-16</w:t>
      </w:r>
    </w:p>
    <w:p w14:paraId="74341995" w14:textId="0246AFA0" w:rsidR="00EB1D5B" w:rsidRDefault="00EB1D5B" w:rsidP="00EB1D5B">
      <w:pPr>
        <w:pStyle w:val="BodyTextIndent"/>
        <w:ind w:firstLine="0"/>
        <w:jc w:val="center"/>
        <w:rPr>
          <w:kern w:val="16"/>
        </w:rPr>
      </w:pPr>
      <w:r w:rsidRPr="00EB1D5B">
        <w:rPr>
          <w:noProof/>
          <w:kern w:val="16"/>
          <w:lang w:eastAsia="en-GB"/>
        </w:rPr>
        <w:drawing>
          <wp:inline distT="0" distB="0" distL="0" distR="0" wp14:anchorId="6CCC4E16" wp14:editId="78C9BB3B">
            <wp:extent cx="2555875" cy="1771891"/>
            <wp:effectExtent l="0" t="0" r="0" b="0"/>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4799" cy="1778078"/>
                    </a:xfrm>
                    <a:prstGeom prst="rect">
                      <a:avLst/>
                    </a:prstGeom>
                    <a:noFill/>
                    <a:ln>
                      <a:noFill/>
                    </a:ln>
                  </pic:spPr>
                </pic:pic>
              </a:graphicData>
            </a:graphic>
          </wp:inline>
        </w:drawing>
      </w:r>
    </w:p>
    <w:p w14:paraId="0DC66297" w14:textId="170F308B" w:rsidR="00EB1D5B" w:rsidRDefault="00EB1D5B" w:rsidP="00EB1D5B">
      <w:pPr>
        <w:pStyle w:val="BodyTextIndent"/>
        <w:rPr>
          <w:kern w:val="16"/>
        </w:rPr>
      </w:pPr>
      <w:r w:rsidRPr="004A4577">
        <w:rPr>
          <w:kern w:val="16"/>
        </w:rPr>
        <w:t xml:space="preserve">Figure </w:t>
      </w:r>
      <w:r>
        <w:rPr>
          <w:kern w:val="16"/>
        </w:rPr>
        <w:t>6</w:t>
      </w:r>
      <w:r w:rsidRPr="004A4577">
        <w:rPr>
          <w:kern w:val="16"/>
        </w:rPr>
        <w:t xml:space="preserve">: </w:t>
      </w:r>
      <w:r>
        <w:rPr>
          <w:kern w:val="16"/>
        </w:rPr>
        <w:t>Physics beam aborts in 2016: due to failures (purple), due to radiation effects (blue) or triggered intentionally operators (green).</w:t>
      </w:r>
    </w:p>
    <w:p w14:paraId="57DBE29F" w14:textId="77777777" w:rsidR="00EA721C" w:rsidRDefault="00EA721C" w:rsidP="00826732">
      <w:pPr>
        <w:pStyle w:val="Heading2"/>
        <w:spacing w:before="180"/>
        <w:sectPr w:rsidR="00EA721C"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14:paraId="779BD514" w14:textId="5F9FA586" w:rsidR="00EA721C" w:rsidRDefault="00FE7AB8" w:rsidP="00826732">
      <w:pPr>
        <w:pStyle w:val="Heading2"/>
        <w:spacing w:before="180"/>
      </w:pPr>
      <w:r>
        <w:rPr>
          <w:noProof/>
          <w:lang w:eastAsia="en-GB"/>
        </w:rPr>
        <w:lastRenderedPageBreak/>
        <w:drawing>
          <wp:inline distT="0" distB="0" distL="0" distR="0" wp14:anchorId="64DF9458" wp14:editId="7F56F780">
            <wp:extent cx="6148685" cy="3864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607" cy="3867075"/>
                    </a:xfrm>
                    <a:prstGeom prst="rect">
                      <a:avLst/>
                    </a:prstGeom>
                    <a:noFill/>
                  </pic:spPr>
                </pic:pic>
              </a:graphicData>
            </a:graphic>
          </wp:inline>
        </w:drawing>
      </w:r>
    </w:p>
    <w:p w14:paraId="66F3493A" w14:textId="3E0E6975" w:rsidR="00FE7AB8" w:rsidRDefault="00FE7AB8" w:rsidP="00FE7AB8">
      <w:pPr>
        <w:pStyle w:val="BodyTextIndent"/>
        <w:jc w:val="center"/>
        <w:rPr>
          <w:kern w:val="16"/>
        </w:rPr>
      </w:pPr>
      <w:r w:rsidRPr="004A4577">
        <w:rPr>
          <w:kern w:val="16"/>
        </w:rPr>
        <w:t xml:space="preserve">Figure </w:t>
      </w:r>
      <w:r>
        <w:rPr>
          <w:kern w:val="16"/>
        </w:rPr>
        <w:t>7</w:t>
      </w:r>
      <w:r w:rsidRPr="004A4577">
        <w:rPr>
          <w:kern w:val="16"/>
        </w:rPr>
        <w:t xml:space="preserve">: </w:t>
      </w:r>
      <w:r>
        <w:rPr>
          <w:kern w:val="16"/>
        </w:rPr>
        <w:t>Duration of fills to stable beams in 2016 (green: dumped by operators, purple: dumped due to failures).</w:t>
      </w:r>
    </w:p>
    <w:p w14:paraId="0E82F7E7" w14:textId="77777777" w:rsidR="00EA721C" w:rsidRDefault="00EA721C" w:rsidP="00EA721C">
      <w:pPr>
        <w:pStyle w:val="BodyTextIndent"/>
      </w:pPr>
    </w:p>
    <w:p w14:paraId="1204C2AF" w14:textId="77777777" w:rsidR="00EA721C" w:rsidRDefault="00EA721C" w:rsidP="00EA721C">
      <w:pPr>
        <w:pStyle w:val="BodyTextIndent"/>
        <w:sectPr w:rsidR="00EA721C" w:rsidSect="00EA721C">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p>
    <w:p w14:paraId="662B17D3" w14:textId="2991C1FC" w:rsidR="00826732" w:rsidRDefault="00656E46" w:rsidP="00826732">
      <w:pPr>
        <w:pStyle w:val="Heading2"/>
        <w:spacing w:before="180"/>
      </w:pPr>
      <w:r>
        <w:t>ANALYSIS OF FILLS to stable beams</w:t>
      </w:r>
    </w:p>
    <w:p w14:paraId="1E3DE2F7" w14:textId="36C58EF3" w:rsidR="00016FBF" w:rsidRDefault="00E10DEF" w:rsidP="00826732">
      <w:pPr>
        <w:pStyle w:val="BodyTextIndent"/>
        <w:rPr>
          <w:kern w:val="16"/>
        </w:rPr>
      </w:pPr>
      <w:r>
        <w:rPr>
          <w:kern w:val="16"/>
        </w:rPr>
        <w:t>A de</w:t>
      </w:r>
      <w:r w:rsidR="00D56AAA">
        <w:rPr>
          <w:kern w:val="16"/>
        </w:rPr>
        <w:t>tailed</w:t>
      </w:r>
      <w:r>
        <w:rPr>
          <w:kern w:val="16"/>
        </w:rPr>
        <w:t xml:space="preserve"> analysis of the</w:t>
      </w:r>
      <w:r w:rsidR="00FE7AB8">
        <w:rPr>
          <w:kern w:val="16"/>
        </w:rPr>
        <w:t xml:space="preserve"> 179 fills that reached stable beams was carried out (4 during the special physics run, where collisions </w:t>
      </w:r>
      <w:r w:rsidR="00A35779">
        <w:rPr>
          <w:kern w:val="16"/>
        </w:rPr>
        <w:t xml:space="preserve">were </w:t>
      </w:r>
      <w:r w:rsidR="00FE7AB8">
        <w:rPr>
          <w:kern w:val="16"/>
        </w:rPr>
        <w:t>performed in ‘adjust’)</w:t>
      </w:r>
      <w:r w:rsidR="00016FBF">
        <w:rPr>
          <w:kern w:val="16"/>
        </w:rPr>
        <w:t xml:space="preserve">. </w:t>
      </w:r>
      <w:r w:rsidR="00FE7AB8">
        <w:rPr>
          <w:kern w:val="16"/>
        </w:rPr>
        <w:t xml:space="preserve">In the period up to TS1 the intensity ramp-up was carried out, requiring relatively short fills to stable beams (20 h integrated time for each intensity step). In this period a record fill was kept in the machine for 35 h. In the period from TS1 to TS2, the best </w:t>
      </w:r>
      <w:r w:rsidR="00A35779">
        <w:rPr>
          <w:kern w:val="16"/>
        </w:rPr>
        <w:t xml:space="preserve">period </w:t>
      </w:r>
      <w:r w:rsidR="00FE7AB8">
        <w:rPr>
          <w:kern w:val="16"/>
        </w:rPr>
        <w:t xml:space="preserve">in terms of physics efficiency (58 %), many fills lasted up to 24 h. After the introduction of BCMS beams, which imply a </w:t>
      </w:r>
      <w:r w:rsidR="00703F75">
        <w:rPr>
          <w:kern w:val="16"/>
        </w:rPr>
        <w:t xml:space="preserve">higher peak luminosity and a </w:t>
      </w:r>
      <w:r w:rsidR="00FE7AB8">
        <w:rPr>
          <w:kern w:val="16"/>
        </w:rPr>
        <w:t>shorter luminosity lifetime, the optimal fill length was set to 15 h.</w:t>
      </w:r>
      <w:r w:rsidR="007810B0">
        <w:rPr>
          <w:kern w:val="16"/>
        </w:rPr>
        <w:t xml:space="preserve"> In the last part of the year, the physics efficiency was reduced to 54 %. This is the result of the shorter optimal fill length, which requires performing more cycles for the same total time in stable beams. Furthermore, in this period additional time was dedicated to measurements and tests even outside MDs</w:t>
      </w:r>
      <w:r w:rsidR="00D5423F">
        <w:rPr>
          <w:kern w:val="16"/>
        </w:rPr>
        <w:t xml:space="preserve"> (e.</w:t>
      </w:r>
      <w:r w:rsidR="00703F75">
        <w:rPr>
          <w:kern w:val="16"/>
        </w:rPr>
        <w:t>g</w:t>
      </w:r>
      <w:r w:rsidR="00D5423F">
        <w:rPr>
          <w:kern w:val="16"/>
        </w:rPr>
        <w:t>.</w:t>
      </w:r>
      <w:r w:rsidR="00703F75">
        <w:rPr>
          <w:kern w:val="16"/>
        </w:rPr>
        <w:t xml:space="preserve"> end-of-fill studies)</w:t>
      </w:r>
      <w:r w:rsidR="007810B0">
        <w:rPr>
          <w:kern w:val="16"/>
        </w:rPr>
        <w:t>. Table 2 summarizes the average fill durations in the three reference periods.</w:t>
      </w:r>
    </w:p>
    <w:p w14:paraId="05846464" w14:textId="77777777" w:rsidR="007810B0" w:rsidRDefault="007810B0" w:rsidP="00826732">
      <w:pPr>
        <w:pStyle w:val="BodyTextIndent"/>
        <w:rPr>
          <w:kern w:val="16"/>
        </w:rPr>
      </w:pPr>
    </w:p>
    <w:p w14:paraId="1FED50BB" w14:textId="4F3F59C9" w:rsidR="007810B0" w:rsidRDefault="007810B0" w:rsidP="007810B0">
      <w:pPr>
        <w:pStyle w:val="BodyTextIndent"/>
        <w:ind w:firstLine="0"/>
        <w:jc w:val="center"/>
        <w:rPr>
          <w:bCs/>
          <w:kern w:val="16"/>
        </w:rPr>
      </w:pPr>
      <w:r w:rsidRPr="009D44FA">
        <w:rPr>
          <w:kern w:val="16"/>
        </w:rPr>
        <w:t xml:space="preserve">Table </w:t>
      </w:r>
      <w:r>
        <w:rPr>
          <w:kern w:val="16"/>
        </w:rPr>
        <w:t>2</w:t>
      </w:r>
      <w:r w:rsidRPr="009D44FA">
        <w:rPr>
          <w:kern w:val="16"/>
        </w:rPr>
        <w:t xml:space="preserve">: </w:t>
      </w:r>
      <w:r>
        <w:rPr>
          <w:kern w:val="16"/>
        </w:rPr>
        <w:t>Average stable beams duration in 2016.</w:t>
      </w:r>
    </w:p>
    <w:tbl>
      <w:tblPr>
        <w:tblW w:w="4111" w:type="dxa"/>
        <w:tblInd w:w="14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2"/>
        <w:gridCol w:w="993"/>
        <w:gridCol w:w="992"/>
        <w:gridCol w:w="1134"/>
      </w:tblGrid>
      <w:tr w:rsidR="007810B0" w:rsidRPr="009D44FA" w14:paraId="73E5147B" w14:textId="77777777" w:rsidTr="000D5EEA">
        <w:trPr>
          <w:trHeight w:val="500"/>
        </w:trPr>
        <w:tc>
          <w:tcPr>
            <w:tcW w:w="992" w:type="dxa"/>
            <w:tcBorders>
              <w:top w:val="nil"/>
              <w:left w:val="nil"/>
              <w:bottom w:val="single" w:sz="18" w:space="0" w:color="auto"/>
              <w:right w:val="single" w:sz="4" w:space="0" w:color="auto"/>
            </w:tcBorders>
          </w:tcPr>
          <w:p w14:paraId="6E3EEAE6" w14:textId="77777777" w:rsidR="007810B0" w:rsidRPr="00CD4EC0" w:rsidRDefault="007810B0" w:rsidP="007810B0">
            <w:pPr>
              <w:pStyle w:val="TableCaption"/>
              <w:rPr>
                <w:b/>
                <w:bCs/>
                <w:kern w:val="16"/>
                <w:sz w:val="16"/>
                <w:szCs w:val="16"/>
              </w:rPr>
            </w:pPr>
          </w:p>
        </w:tc>
        <w:tc>
          <w:tcPr>
            <w:tcW w:w="993" w:type="dxa"/>
            <w:tcBorders>
              <w:top w:val="single" w:sz="18" w:space="0" w:color="auto"/>
              <w:left w:val="single" w:sz="4" w:space="0" w:color="auto"/>
              <w:bottom w:val="single" w:sz="18" w:space="0" w:color="auto"/>
            </w:tcBorders>
          </w:tcPr>
          <w:p w14:paraId="7EC67901" w14:textId="77777777" w:rsidR="007810B0" w:rsidRPr="00CD4EC0" w:rsidRDefault="007810B0" w:rsidP="007810B0">
            <w:pPr>
              <w:pStyle w:val="TableCaption"/>
              <w:rPr>
                <w:b/>
                <w:bCs/>
                <w:kern w:val="16"/>
                <w:sz w:val="16"/>
                <w:szCs w:val="16"/>
              </w:rPr>
            </w:pPr>
            <w:r w:rsidRPr="00CD4EC0">
              <w:rPr>
                <w:b/>
                <w:bCs/>
                <w:kern w:val="16"/>
                <w:sz w:val="16"/>
                <w:szCs w:val="16"/>
              </w:rPr>
              <w:t>Restart - TS1</w:t>
            </w:r>
          </w:p>
        </w:tc>
        <w:tc>
          <w:tcPr>
            <w:tcW w:w="992" w:type="dxa"/>
            <w:tcBorders>
              <w:top w:val="single" w:sz="18" w:space="0" w:color="auto"/>
              <w:bottom w:val="single" w:sz="18" w:space="0" w:color="auto"/>
            </w:tcBorders>
          </w:tcPr>
          <w:p w14:paraId="1F1D1A85" w14:textId="77777777" w:rsidR="007810B0" w:rsidRPr="00CD4EC0" w:rsidRDefault="007810B0" w:rsidP="007810B0">
            <w:pPr>
              <w:pStyle w:val="TableCaption"/>
              <w:rPr>
                <w:b/>
                <w:bCs/>
                <w:kern w:val="16"/>
                <w:sz w:val="16"/>
                <w:szCs w:val="16"/>
              </w:rPr>
            </w:pPr>
            <w:r w:rsidRPr="00CD4EC0">
              <w:rPr>
                <w:b/>
                <w:bCs/>
                <w:kern w:val="16"/>
                <w:sz w:val="16"/>
                <w:szCs w:val="16"/>
              </w:rPr>
              <w:t>TS1 – TS2</w:t>
            </w:r>
          </w:p>
        </w:tc>
        <w:tc>
          <w:tcPr>
            <w:tcW w:w="1134" w:type="dxa"/>
            <w:tcBorders>
              <w:top w:val="single" w:sz="18" w:space="0" w:color="auto"/>
              <w:bottom w:val="single" w:sz="18" w:space="0" w:color="auto"/>
            </w:tcBorders>
          </w:tcPr>
          <w:p w14:paraId="3A8F1D3C" w14:textId="77777777" w:rsidR="007810B0" w:rsidRPr="00CD4EC0" w:rsidRDefault="007810B0" w:rsidP="007810B0">
            <w:pPr>
              <w:pStyle w:val="TableCaption"/>
              <w:rPr>
                <w:b/>
                <w:bCs/>
                <w:kern w:val="16"/>
                <w:sz w:val="16"/>
                <w:szCs w:val="16"/>
              </w:rPr>
            </w:pPr>
            <w:r w:rsidRPr="00CD4EC0">
              <w:rPr>
                <w:b/>
                <w:bCs/>
                <w:kern w:val="16"/>
                <w:sz w:val="16"/>
                <w:szCs w:val="16"/>
              </w:rPr>
              <w:t>TS2 – TS3</w:t>
            </w:r>
          </w:p>
        </w:tc>
      </w:tr>
      <w:tr w:rsidR="007810B0" w:rsidRPr="009D44FA" w14:paraId="7C47485A" w14:textId="77777777" w:rsidTr="000D5EEA">
        <w:trPr>
          <w:trHeight w:val="151"/>
        </w:trPr>
        <w:tc>
          <w:tcPr>
            <w:tcW w:w="992" w:type="dxa"/>
            <w:tcBorders>
              <w:top w:val="single" w:sz="18" w:space="0" w:color="auto"/>
              <w:left w:val="single" w:sz="4" w:space="0" w:color="auto"/>
              <w:bottom w:val="single" w:sz="4" w:space="0" w:color="auto"/>
              <w:right w:val="single" w:sz="4" w:space="0" w:color="auto"/>
            </w:tcBorders>
          </w:tcPr>
          <w:p w14:paraId="364FB01D" w14:textId="7C38BD5D" w:rsidR="007810B0" w:rsidRPr="00CD4EC0" w:rsidRDefault="007810B0" w:rsidP="007810B0">
            <w:pPr>
              <w:pStyle w:val="TableCaption"/>
              <w:rPr>
                <w:kern w:val="16"/>
                <w:sz w:val="16"/>
                <w:szCs w:val="16"/>
              </w:rPr>
            </w:pPr>
            <w:r w:rsidRPr="00CD4EC0">
              <w:rPr>
                <w:kern w:val="16"/>
                <w:sz w:val="16"/>
                <w:szCs w:val="16"/>
              </w:rPr>
              <w:t>Aborted</w:t>
            </w:r>
          </w:p>
        </w:tc>
        <w:tc>
          <w:tcPr>
            <w:tcW w:w="993" w:type="dxa"/>
            <w:tcBorders>
              <w:top w:val="single" w:sz="18" w:space="0" w:color="auto"/>
              <w:left w:val="single" w:sz="4" w:space="0" w:color="auto"/>
              <w:bottom w:val="single" w:sz="4" w:space="0" w:color="auto"/>
            </w:tcBorders>
          </w:tcPr>
          <w:p w14:paraId="2A242513" w14:textId="7B1FE756" w:rsidR="007810B0" w:rsidRPr="00CD4EC0" w:rsidRDefault="00F71A1D" w:rsidP="007810B0">
            <w:pPr>
              <w:pStyle w:val="TableCaption"/>
              <w:rPr>
                <w:kern w:val="16"/>
                <w:sz w:val="16"/>
                <w:szCs w:val="16"/>
              </w:rPr>
            </w:pPr>
            <w:r w:rsidRPr="00CD4EC0">
              <w:rPr>
                <w:kern w:val="16"/>
                <w:sz w:val="16"/>
                <w:szCs w:val="16"/>
              </w:rPr>
              <w:t>8.0</w:t>
            </w:r>
            <w:r w:rsidR="002902FB" w:rsidRPr="00CD4EC0">
              <w:rPr>
                <w:kern w:val="16"/>
                <w:sz w:val="16"/>
                <w:szCs w:val="16"/>
              </w:rPr>
              <w:t xml:space="preserve"> h</w:t>
            </w:r>
          </w:p>
        </w:tc>
        <w:tc>
          <w:tcPr>
            <w:tcW w:w="992" w:type="dxa"/>
            <w:tcBorders>
              <w:top w:val="single" w:sz="18" w:space="0" w:color="auto"/>
              <w:bottom w:val="single" w:sz="4" w:space="0" w:color="auto"/>
            </w:tcBorders>
          </w:tcPr>
          <w:p w14:paraId="47AF09E4" w14:textId="28CDD2E2" w:rsidR="007810B0" w:rsidRPr="00CD4EC0" w:rsidRDefault="002902FB" w:rsidP="007810B0">
            <w:pPr>
              <w:pStyle w:val="TableCaption"/>
              <w:rPr>
                <w:kern w:val="16"/>
                <w:sz w:val="16"/>
                <w:szCs w:val="16"/>
              </w:rPr>
            </w:pPr>
            <w:r w:rsidRPr="00CD4EC0">
              <w:rPr>
                <w:kern w:val="16"/>
                <w:sz w:val="16"/>
                <w:szCs w:val="16"/>
              </w:rPr>
              <w:t>7.7 h</w:t>
            </w:r>
          </w:p>
        </w:tc>
        <w:tc>
          <w:tcPr>
            <w:tcW w:w="1134" w:type="dxa"/>
            <w:tcBorders>
              <w:top w:val="single" w:sz="18" w:space="0" w:color="auto"/>
              <w:bottom w:val="single" w:sz="4" w:space="0" w:color="auto"/>
            </w:tcBorders>
          </w:tcPr>
          <w:p w14:paraId="211B4E51" w14:textId="7BB64588" w:rsidR="007810B0" w:rsidRPr="00CD4EC0" w:rsidRDefault="002902FB" w:rsidP="007810B0">
            <w:pPr>
              <w:pStyle w:val="TableCaption"/>
              <w:rPr>
                <w:sz w:val="16"/>
                <w:szCs w:val="16"/>
              </w:rPr>
            </w:pPr>
            <w:r w:rsidRPr="00CD4EC0">
              <w:rPr>
                <w:sz w:val="16"/>
                <w:szCs w:val="16"/>
              </w:rPr>
              <w:t>7.8 h</w:t>
            </w:r>
          </w:p>
        </w:tc>
      </w:tr>
      <w:tr w:rsidR="007810B0" w:rsidRPr="009D44FA" w14:paraId="0B90B72D" w14:textId="77777777" w:rsidTr="000D5EEA">
        <w:trPr>
          <w:trHeight w:val="151"/>
        </w:trPr>
        <w:tc>
          <w:tcPr>
            <w:tcW w:w="992" w:type="dxa"/>
            <w:tcBorders>
              <w:top w:val="single" w:sz="4" w:space="0" w:color="auto"/>
              <w:left w:val="single" w:sz="4" w:space="0" w:color="auto"/>
              <w:bottom w:val="single" w:sz="4" w:space="0" w:color="auto"/>
              <w:right w:val="single" w:sz="4" w:space="0" w:color="auto"/>
            </w:tcBorders>
          </w:tcPr>
          <w:p w14:paraId="55AFB083" w14:textId="2AE74665" w:rsidR="007810B0" w:rsidRPr="00CD4EC0" w:rsidRDefault="007810B0" w:rsidP="007810B0">
            <w:pPr>
              <w:pStyle w:val="TableCaption"/>
              <w:rPr>
                <w:kern w:val="16"/>
                <w:sz w:val="16"/>
                <w:szCs w:val="16"/>
              </w:rPr>
            </w:pPr>
            <w:r w:rsidRPr="00CD4EC0">
              <w:rPr>
                <w:kern w:val="16"/>
                <w:sz w:val="16"/>
                <w:szCs w:val="16"/>
              </w:rPr>
              <w:t>End of Fill</w:t>
            </w:r>
          </w:p>
        </w:tc>
        <w:tc>
          <w:tcPr>
            <w:tcW w:w="993" w:type="dxa"/>
            <w:tcBorders>
              <w:top w:val="single" w:sz="4" w:space="0" w:color="auto"/>
              <w:left w:val="single" w:sz="4" w:space="0" w:color="auto"/>
              <w:bottom w:val="single" w:sz="4" w:space="0" w:color="auto"/>
            </w:tcBorders>
          </w:tcPr>
          <w:p w14:paraId="50136955" w14:textId="6D806BBE" w:rsidR="007810B0" w:rsidRPr="00CD4EC0" w:rsidRDefault="007810B0" w:rsidP="007810B0">
            <w:pPr>
              <w:pStyle w:val="TableCaption"/>
              <w:rPr>
                <w:kern w:val="16"/>
                <w:sz w:val="16"/>
                <w:szCs w:val="16"/>
              </w:rPr>
            </w:pPr>
            <w:r w:rsidRPr="00CD4EC0">
              <w:rPr>
                <w:kern w:val="16"/>
                <w:sz w:val="16"/>
                <w:szCs w:val="16"/>
              </w:rPr>
              <w:t>6.9 h</w:t>
            </w:r>
          </w:p>
        </w:tc>
        <w:tc>
          <w:tcPr>
            <w:tcW w:w="992" w:type="dxa"/>
            <w:tcBorders>
              <w:top w:val="single" w:sz="4" w:space="0" w:color="auto"/>
              <w:bottom w:val="single" w:sz="4" w:space="0" w:color="auto"/>
            </w:tcBorders>
          </w:tcPr>
          <w:p w14:paraId="13BCB042" w14:textId="7D9F79A3" w:rsidR="007810B0" w:rsidRPr="00CD4EC0" w:rsidRDefault="002902FB" w:rsidP="007810B0">
            <w:pPr>
              <w:pStyle w:val="TableCaption"/>
              <w:rPr>
                <w:kern w:val="16"/>
                <w:sz w:val="16"/>
                <w:szCs w:val="16"/>
              </w:rPr>
            </w:pPr>
            <w:r w:rsidRPr="00CD4EC0">
              <w:rPr>
                <w:kern w:val="16"/>
                <w:sz w:val="16"/>
                <w:szCs w:val="16"/>
              </w:rPr>
              <w:t>16.2 h</w:t>
            </w:r>
          </w:p>
        </w:tc>
        <w:tc>
          <w:tcPr>
            <w:tcW w:w="1134" w:type="dxa"/>
            <w:tcBorders>
              <w:top w:val="single" w:sz="4" w:space="0" w:color="auto"/>
              <w:bottom w:val="single" w:sz="4" w:space="0" w:color="auto"/>
            </w:tcBorders>
          </w:tcPr>
          <w:p w14:paraId="48C2874D" w14:textId="5F8F28FC" w:rsidR="007810B0" w:rsidRPr="00CD4EC0" w:rsidRDefault="002902FB" w:rsidP="007810B0">
            <w:pPr>
              <w:pStyle w:val="TableCaption"/>
              <w:rPr>
                <w:kern w:val="16"/>
                <w:sz w:val="16"/>
                <w:szCs w:val="16"/>
              </w:rPr>
            </w:pPr>
            <w:r w:rsidRPr="00CD4EC0">
              <w:rPr>
                <w:kern w:val="16"/>
                <w:sz w:val="16"/>
                <w:szCs w:val="16"/>
              </w:rPr>
              <w:t>11.5 h</w:t>
            </w:r>
          </w:p>
        </w:tc>
      </w:tr>
    </w:tbl>
    <w:p w14:paraId="28DB5B34" w14:textId="77777777" w:rsidR="007810B0" w:rsidRDefault="007810B0" w:rsidP="00826732">
      <w:pPr>
        <w:pStyle w:val="BodyTextIndent"/>
        <w:rPr>
          <w:kern w:val="16"/>
        </w:rPr>
      </w:pPr>
    </w:p>
    <w:p w14:paraId="4738EFB4" w14:textId="2799E024" w:rsidR="00826732" w:rsidRDefault="00A37E36" w:rsidP="00826732">
      <w:pPr>
        <w:pStyle w:val="BodyTextIndent"/>
        <w:rPr>
          <w:kern w:val="16"/>
        </w:rPr>
      </w:pPr>
      <w:r>
        <w:rPr>
          <w:kern w:val="16"/>
        </w:rPr>
        <w:t>The average duration of fills dumped due to failures was remarkably stable during the year, indicating a very reproducible operation and a well-established machine reliability</w:t>
      </w:r>
      <w:r w:rsidR="002C13DF">
        <w:rPr>
          <w:kern w:val="16"/>
        </w:rPr>
        <w:t>.</w:t>
      </w:r>
      <w:r w:rsidR="00C74820">
        <w:rPr>
          <w:kern w:val="16"/>
        </w:rPr>
        <w:t xml:space="preserve"> Short fills (few hours) dumped by operators are either relative to the intensity ramp-up (e.g. following TSs or MDs) or were triggered to anticipate the loss of cryogenic conditions.</w:t>
      </w:r>
    </w:p>
    <w:p w14:paraId="271E46AD" w14:textId="77777777" w:rsidR="007B482B" w:rsidRDefault="007B482B" w:rsidP="00817E0C">
      <w:pPr>
        <w:pStyle w:val="BodyTextIndent"/>
      </w:pPr>
    </w:p>
    <w:p w14:paraId="6C912219" w14:textId="73CBC1DD" w:rsidR="007B482B" w:rsidRDefault="007B482B" w:rsidP="007B482B">
      <w:pPr>
        <w:pStyle w:val="Heading2"/>
        <w:spacing w:before="180"/>
      </w:pPr>
      <w:r>
        <w:t>downtime</w:t>
      </w:r>
      <w:r w:rsidR="003E6952">
        <w:t xml:space="preserve"> ANALYSIS</w:t>
      </w:r>
    </w:p>
    <w:p w14:paraId="64E10549" w14:textId="2BF9CE81" w:rsidR="00DD68C4" w:rsidRDefault="007B482B" w:rsidP="00817E0C">
      <w:pPr>
        <w:pStyle w:val="BodyTextIndent"/>
      </w:pPr>
      <w:r>
        <w:t xml:space="preserve">A total of 779 faults were registered in the </w:t>
      </w:r>
      <w:r w:rsidR="003E6952">
        <w:t>AFT</w:t>
      </w:r>
      <w:r>
        <w:t xml:space="preserve"> for the proton run, with 77 pre-cycles due to faults. Table 3 shows the statistics related to faults in terms of occurrence and downtime. Three different classes of downtime are presented:</w:t>
      </w:r>
    </w:p>
    <w:p w14:paraId="0E4F75DE" w14:textId="663F21A7" w:rsidR="007B482B" w:rsidRDefault="007B482B" w:rsidP="007B482B">
      <w:pPr>
        <w:pStyle w:val="BodyTextIndent"/>
        <w:numPr>
          <w:ilvl w:val="0"/>
          <w:numId w:val="32"/>
        </w:numPr>
      </w:pPr>
      <w:r>
        <w:t>‘Fault duration’: integrated downtime logged for the faults</w:t>
      </w:r>
    </w:p>
    <w:p w14:paraId="1B21EAD7" w14:textId="46ABC229" w:rsidR="007B482B" w:rsidRDefault="007B482B" w:rsidP="007B482B">
      <w:pPr>
        <w:pStyle w:val="BodyTextIndent"/>
        <w:numPr>
          <w:ilvl w:val="0"/>
          <w:numId w:val="32"/>
        </w:numPr>
      </w:pPr>
      <w:r>
        <w:t>‘Machine downtime’: real impact on machine operation, accounting for possible parallelism of faults</w:t>
      </w:r>
    </w:p>
    <w:p w14:paraId="20FA7458" w14:textId="434E0619" w:rsidR="00E20E76" w:rsidRDefault="007B482B" w:rsidP="00E20E76">
      <w:pPr>
        <w:pStyle w:val="BodyTextIndent"/>
        <w:numPr>
          <w:ilvl w:val="0"/>
          <w:numId w:val="32"/>
        </w:numPr>
      </w:pPr>
      <w:r>
        <w:t>‘Root cause duration’:</w:t>
      </w:r>
      <w:r w:rsidR="00E20E76">
        <w:t xml:space="preserve"> real impact on machine operation, accounting for possible parallelism of faults and parent/child relationships</w:t>
      </w:r>
    </w:p>
    <w:p w14:paraId="4C650CEF" w14:textId="57F81C20" w:rsidR="007B482B" w:rsidRDefault="00E20E76" w:rsidP="00E20E76">
      <w:pPr>
        <w:pStyle w:val="BodyTextIndent"/>
      </w:pPr>
      <w:r>
        <w:t>Fig.s 8-9-10 visually show the contributions of the different systems to LHC downtime. Fig. 10 is used as a basis for the assessment of the top contributors to the unavailability in 2016.</w:t>
      </w:r>
    </w:p>
    <w:p w14:paraId="74F17271" w14:textId="77777777" w:rsidR="00E20E76" w:rsidRDefault="00E20E76" w:rsidP="00E20E76">
      <w:pPr>
        <w:pStyle w:val="BodyTextIndent"/>
      </w:pPr>
    </w:p>
    <w:p w14:paraId="27949D75" w14:textId="77777777" w:rsidR="00B10CAE" w:rsidRDefault="00B10CAE" w:rsidP="00817E0C">
      <w:pPr>
        <w:pStyle w:val="BodyTextIndent"/>
      </w:pPr>
    </w:p>
    <w:p w14:paraId="03BEAAA3" w14:textId="77777777" w:rsidR="00BB112A" w:rsidRDefault="00BB112A" w:rsidP="00E43F1A">
      <w:pPr>
        <w:pStyle w:val="BodyTextIndent"/>
        <w:ind w:firstLine="0"/>
        <w:rPr>
          <w:kern w:val="16"/>
        </w:rPr>
      </w:pPr>
    </w:p>
    <w:p w14:paraId="31CA4EB9" w14:textId="77777777" w:rsidR="00E20E76" w:rsidRDefault="00E20E76" w:rsidP="00E43F1A">
      <w:pPr>
        <w:pStyle w:val="BodyTextIndent"/>
        <w:ind w:firstLine="0"/>
        <w:rPr>
          <w:kern w:val="16"/>
        </w:rPr>
        <w:sectPr w:rsidR="00E20E76" w:rsidSect="00EA721C">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pPr>
    </w:p>
    <w:p w14:paraId="028DD504" w14:textId="4D7E4CAE" w:rsidR="00EA721C" w:rsidRDefault="00E20E76" w:rsidP="001D43A0">
      <w:pPr>
        <w:pStyle w:val="BodyTextIndent"/>
        <w:ind w:firstLine="0"/>
        <w:jc w:val="center"/>
        <w:rPr>
          <w:kern w:val="16"/>
        </w:rPr>
        <w:sectPr w:rsidR="00EA721C" w:rsidSect="00E20E76">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r w:rsidRPr="009D44FA">
        <w:rPr>
          <w:kern w:val="16"/>
        </w:rPr>
        <w:t xml:space="preserve">Table </w:t>
      </w:r>
      <w:r>
        <w:rPr>
          <w:kern w:val="16"/>
        </w:rPr>
        <w:t>3</w:t>
      </w:r>
      <w:r w:rsidRPr="009D44FA">
        <w:rPr>
          <w:kern w:val="16"/>
        </w:rPr>
        <w:t xml:space="preserve">: </w:t>
      </w:r>
      <w:r>
        <w:rPr>
          <w:kern w:val="16"/>
        </w:rPr>
        <w:t xml:space="preserve">2016 LHC </w:t>
      </w:r>
      <w:r w:rsidR="001D43A0">
        <w:rPr>
          <w:kern w:val="16"/>
        </w:rPr>
        <w:t>downtime</w:t>
      </w:r>
      <w:r>
        <w:rPr>
          <w:kern w:val="16"/>
        </w:rPr>
        <w:t>.</w:t>
      </w:r>
    </w:p>
    <w:p w14:paraId="44A4D86D" w14:textId="30DDD686" w:rsidR="00E43F1A" w:rsidRDefault="00E20E76" w:rsidP="00E20E76">
      <w:pPr>
        <w:pStyle w:val="BodyTextIndent"/>
        <w:ind w:firstLine="0"/>
        <w:jc w:val="center"/>
        <w:rPr>
          <w:kern w:val="16"/>
        </w:rPr>
      </w:pPr>
      <w:r w:rsidRPr="00E20E76">
        <w:rPr>
          <w:noProof/>
          <w:kern w:val="16"/>
          <w:lang w:eastAsia="en-GB"/>
        </w:rPr>
        <w:drawing>
          <wp:inline distT="0" distB="0" distL="0" distR="0" wp14:anchorId="497BAA6C" wp14:editId="20E35C70">
            <wp:extent cx="5073650" cy="3903538"/>
            <wp:effectExtent l="0" t="0" r="0" b="190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stretch>
                      <a:fillRect/>
                    </a:stretch>
                  </pic:blipFill>
                  <pic:spPr>
                    <a:xfrm>
                      <a:off x="0" y="0"/>
                      <a:ext cx="5088216" cy="3914745"/>
                    </a:xfrm>
                    <a:prstGeom prst="rect">
                      <a:avLst/>
                    </a:prstGeom>
                  </pic:spPr>
                </pic:pic>
              </a:graphicData>
            </a:graphic>
          </wp:inline>
        </w:drawing>
      </w:r>
    </w:p>
    <w:p w14:paraId="645BDD3A" w14:textId="393ADF88" w:rsidR="00E20E76" w:rsidRDefault="00E20E76" w:rsidP="00E43F1A">
      <w:pPr>
        <w:pStyle w:val="BodyTextIndent"/>
        <w:jc w:val="center"/>
        <w:rPr>
          <w:kern w:val="16"/>
        </w:rPr>
      </w:pPr>
    </w:p>
    <w:p w14:paraId="3342DF99" w14:textId="77777777" w:rsidR="00E20E76" w:rsidRDefault="00E20E76" w:rsidP="00E43F1A">
      <w:pPr>
        <w:pStyle w:val="BodyTextIndent"/>
        <w:jc w:val="center"/>
        <w:rPr>
          <w:color w:val="339966"/>
          <w:kern w:val="16"/>
        </w:rPr>
      </w:pPr>
    </w:p>
    <w:p w14:paraId="2830A114" w14:textId="77777777" w:rsidR="00E20E76" w:rsidRDefault="00E20E76" w:rsidP="00E43F1A">
      <w:pPr>
        <w:pStyle w:val="BodyTextIndent"/>
        <w:ind w:firstLine="0"/>
        <w:rPr>
          <w:kern w:val="16"/>
        </w:rPr>
        <w:sectPr w:rsidR="00E20E76" w:rsidSect="00E20E76">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p>
    <w:p w14:paraId="0A078BD4" w14:textId="56EF409C" w:rsidR="00E43F1A" w:rsidRDefault="00611181" w:rsidP="00611181">
      <w:pPr>
        <w:pStyle w:val="BodyTextIndent"/>
        <w:ind w:firstLine="0"/>
        <w:jc w:val="center"/>
        <w:rPr>
          <w:kern w:val="16"/>
        </w:rPr>
      </w:pPr>
      <w:r>
        <w:rPr>
          <w:noProof/>
          <w:kern w:val="16"/>
          <w:lang w:eastAsia="en-GB"/>
        </w:rPr>
        <w:drawing>
          <wp:inline distT="0" distB="0" distL="0" distR="0" wp14:anchorId="1E0F4611" wp14:editId="796E552F">
            <wp:extent cx="6043197" cy="3949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56988" cy="3958714"/>
                    </a:xfrm>
                    <a:prstGeom prst="rect">
                      <a:avLst/>
                    </a:prstGeom>
                    <a:noFill/>
                  </pic:spPr>
                </pic:pic>
              </a:graphicData>
            </a:graphic>
          </wp:inline>
        </w:drawing>
      </w:r>
    </w:p>
    <w:p w14:paraId="5E8C0547" w14:textId="016E1CF2" w:rsidR="00E43F1A" w:rsidRDefault="00E43F1A" w:rsidP="00B10CAE">
      <w:pPr>
        <w:pStyle w:val="BodyTextIndent"/>
        <w:jc w:val="center"/>
        <w:rPr>
          <w:kern w:val="16"/>
        </w:rPr>
      </w:pPr>
      <w:r w:rsidRPr="004A4577">
        <w:rPr>
          <w:kern w:val="16"/>
        </w:rPr>
        <w:t xml:space="preserve">Figure </w:t>
      </w:r>
      <w:r w:rsidR="00A141AD">
        <w:rPr>
          <w:kern w:val="16"/>
        </w:rPr>
        <w:t>8</w:t>
      </w:r>
      <w:r w:rsidRPr="004A4577">
        <w:rPr>
          <w:kern w:val="16"/>
        </w:rPr>
        <w:t xml:space="preserve">: </w:t>
      </w:r>
      <w:r w:rsidR="00611181">
        <w:rPr>
          <w:kern w:val="16"/>
        </w:rPr>
        <w:t>2016 LHC fault duration</w:t>
      </w:r>
    </w:p>
    <w:p w14:paraId="7EAD531B" w14:textId="5BD080C3" w:rsidR="00611181" w:rsidRDefault="00611181" w:rsidP="00B10CAE">
      <w:pPr>
        <w:pStyle w:val="BodyTextIndent"/>
        <w:jc w:val="center"/>
        <w:rPr>
          <w:kern w:val="16"/>
        </w:rPr>
      </w:pPr>
      <w:r>
        <w:rPr>
          <w:noProof/>
          <w:kern w:val="16"/>
          <w:lang w:eastAsia="en-GB"/>
        </w:rPr>
        <w:lastRenderedPageBreak/>
        <w:drawing>
          <wp:inline distT="0" distB="0" distL="0" distR="0" wp14:anchorId="4D1A7AD5" wp14:editId="4BB5A497">
            <wp:extent cx="5965472" cy="38989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7375" cy="3926287"/>
                    </a:xfrm>
                    <a:prstGeom prst="rect">
                      <a:avLst/>
                    </a:prstGeom>
                    <a:noFill/>
                  </pic:spPr>
                </pic:pic>
              </a:graphicData>
            </a:graphic>
          </wp:inline>
        </w:drawing>
      </w:r>
    </w:p>
    <w:p w14:paraId="78591E84" w14:textId="5C141485" w:rsidR="00611181" w:rsidRDefault="00611181" w:rsidP="00B10CAE">
      <w:pPr>
        <w:pStyle w:val="BodyTextIndent"/>
        <w:jc w:val="center"/>
        <w:rPr>
          <w:kern w:val="16"/>
        </w:rPr>
      </w:pPr>
      <w:r w:rsidRPr="004A4577">
        <w:rPr>
          <w:kern w:val="16"/>
        </w:rPr>
        <w:t xml:space="preserve">Figure </w:t>
      </w:r>
      <w:r>
        <w:rPr>
          <w:kern w:val="16"/>
        </w:rPr>
        <w:t>9</w:t>
      </w:r>
      <w:r w:rsidRPr="004A4577">
        <w:rPr>
          <w:kern w:val="16"/>
        </w:rPr>
        <w:t xml:space="preserve">: </w:t>
      </w:r>
      <w:r>
        <w:rPr>
          <w:kern w:val="16"/>
        </w:rPr>
        <w:t>2016 LHC machine downtime.</w:t>
      </w:r>
    </w:p>
    <w:p w14:paraId="7F1C20E6" w14:textId="77777777" w:rsidR="00611181" w:rsidRDefault="00611181" w:rsidP="00B10CAE">
      <w:pPr>
        <w:pStyle w:val="BodyTextIndent"/>
        <w:jc w:val="center"/>
        <w:rPr>
          <w:kern w:val="16"/>
        </w:rPr>
      </w:pPr>
    </w:p>
    <w:p w14:paraId="39759886" w14:textId="08666A99" w:rsidR="00C758E9" w:rsidRDefault="00611181" w:rsidP="00611181">
      <w:pPr>
        <w:pStyle w:val="BodyTextIndent"/>
        <w:jc w:val="center"/>
      </w:pPr>
      <w:r>
        <w:rPr>
          <w:noProof/>
          <w:lang w:eastAsia="en-GB"/>
        </w:rPr>
        <w:drawing>
          <wp:inline distT="0" distB="0" distL="0" distR="0" wp14:anchorId="1659E95F" wp14:editId="264E869F">
            <wp:extent cx="6006277" cy="39255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4111" cy="3930690"/>
                    </a:xfrm>
                    <a:prstGeom prst="rect">
                      <a:avLst/>
                    </a:prstGeom>
                    <a:noFill/>
                  </pic:spPr>
                </pic:pic>
              </a:graphicData>
            </a:graphic>
          </wp:inline>
        </w:drawing>
      </w:r>
    </w:p>
    <w:p w14:paraId="6CE2B556" w14:textId="7538356C" w:rsidR="00611181" w:rsidRPr="000D5EEA" w:rsidRDefault="00611181" w:rsidP="00B10CAE">
      <w:pPr>
        <w:pStyle w:val="BodyTextIndent"/>
        <w:jc w:val="center"/>
        <w:rPr>
          <w:kern w:val="16"/>
          <w:lang w:val="fr-FR"/>
        </w:rPr>
      </w:pPr>
      <w:r w:rsidRPr="000D5EEA">
        <w:rPr>
          <w:kern w:val="16"/>
          <w:lang w:val="fr-FR"/>
        </w:rPr>
        <w:t>Figure 10: 2016 LHC root cause duration.</w:t>
      </w:r>
    </w:p>
    <w:p w14:paraId="2F0D124F" w14:textId="77777777" w:rsidR="00611181" w:rsidRPr="000D5EEA" w:rsidRDefault="00611181" w:rsidP="00B10CAE">
      <w:pPr>
        <w:pStyle w:val="BodyTextIndent"/>
        <w:jc w:val="center"/>
        <w:rPr>
          <w:kern w:val="16"/>
          <w:lang w:val="fr-FR"/>
        </w:rPr>
      </w:pPr>
    </w:p>
    <w:p w14:paraId="23843512" w14:textId="77777777" w:rsidR="00611181" w:rsidRPr="000D5EEA" w:rsidRDefault="00611181" w:rsidP="00B10CAE">
      <w:pPr>
        <w:pStyle w:val="BodyTextIndent"/>
        <w:jc w:val="center"/>
        <w:rPr>
          <w:lang w:val="fr-FR"/>
        </w:rPr>
        <w:sectPr w:rsidR="00611181" w:rsidRPr="000D5EEA" w:rsidSect="00C758E9">
          <w:footnotePr>
            <w:pos w:val="beneathText"/>
            <w:numFmt w:val="chicago"/>
          </w:footnotePr>
          <w:endnotePr>
            <w:numFmt w:val="decimal"/>
          </w:endnotePr>
          <w:type w:val="continuous"/>
          <w:pgSz w:w="11907" w:h="16840" w:code="9"/>
          <w:pgMar w:top="2098" w:right="1134" w:bottom="1080" w:left="1134" w:header="720" w:footer="720" w:gutter="0"/>
          <w:cols w:space="288"/>
          <w:docGrid w:linePitch="360"/>
        </w:sectPr>
      </w:pPr>
    </w:p>
    <w:p w14:paraId="324FDC5F" w14:textId="649A57D3" w:rsidR="00C758E9" w:rsidRDefault="0098594B" w:rsidP="00817E0C">
      <w:pPr>
        <w:pStyle w:val="BodyTextIndent"/>
      </w:pPr>
      <w:r>
        <w:lastRenderedPageBreak/>
        <w:t xml:space="preserve">The top contributors to downtime are the injector complex and technical services, </w:t>
      </w:r>
      <w:r w:rsidR="003E6952">
        <w:t>both having caused</w:t>
      </w:r>
      <w:r>
        <w:t xml:space="preserve"> over </w:t>
      </w:r>
      <w:r w:rsidR="00DB0E12">
        <w:t xml:space="preserve">ten </w:t>
      </w:r>
      <w:r>
        <w:t xml:space="preserve">days of downtime. The downtime is in both cases dominated by isolated, high-impact faults. The technical services suffered from the </w:t>
      </w:r>
      <w:r w:rsidR="003E6952">
        <w:t>occurrence of the</w:t>
      </w:r>
      <w:r>
        <w:t xml:space="preserve"> 66 kV transformer failure in P</w:t>
      </w:r>
      <w:r w:rsidR="00DB0E12">
        <w:t xml:space="preserve">oint </w:t>
      </w:r>
      <w:r>
        <w:t>8 and the flood in P</w:t>
      </w:r>
      <w:r w:rsidR="00DB0E12">
        <w:t xml:space="preserve">oint </w:t>
      </w:r>
      <w:r>
        <w:t xml:space="preserve">3, with a combined downtime of </w:t>
      </w:r>
      <w:r w:rsidR="009922E3">
        <w:t xml:space="preserve">about </w:t>
      </w:r>
      <w:r w:rsidR="00DB0E12">
        <w:t xml:space="preserve">ten </w:t>
      </w:r>
      <w:r>
        <w:t>days.</w:t>
      </w:r>
      <w:r w:rsidR="00A1186E">
        <w:t xml:space="preserve"> In addition, 22 premature dumps were triggered by perturbations </w:t>
      </w:r>
      <w:r w:rsidR="001D4C40">
        <w:t>in</w:t>
      </w:r>
      <w:r w:rsidR="00A1186E">
        <w:t xml:space="preserve"> the electrical network (see [6]</w:t>
      </w:r>
      <w:r w:rsidR="00DB0E12">
        <w:t xml:space="preserve">, </w:t>
      </w:r>
      <w:r w:rsidR="00A1186E">
        <w:t>[7]).</w:t>
      </w:r>
      <w:r>
        <w:t xml:space="preserve"> The downtime of the injector complex </w:t>
      </w:r>
      <w:r w:rsidR="00DB0E12">
        <w:t xml:space="preserve">was </w:t>
      </w:r>
      <w:r>
        <w:t xml:space="preserve">dominated in 2016 by the PS, which experienced </w:t>
      </w:r>
      <w:r w:rsidR="00DB0E12">
        <w:t xml:space="preserve">several </w:t>
      </w:r>
      <w:r>
        <w:t xml:space="preserve">problems </w:t>
      </w:r>
      <w:r w:rsidR="00DB0E12">
        <w:t xml:space="preserve">including </w:t>
      </w:r>
      <w:bookmarkStart w:id="0" w:name="_GoBack"/>
      <w:bookmarkEnd w:id="0"/>
      <w:r>
        <w:t xml:space="preserve">main power </w:t>
      </w:r>
      <w:r w:rsidR="00DB0E12">
        <w:t xml:space="preserve">supply issues </w:t>
      </w:r>
      <w:r>
        <w:t>and a vacuum leak</w:t>
      </w:r>
      <w:r w:rsidR="003E6952">
        <w:t xml:space="preserve"> [</w:t>
      </w:r>
      <w:r w:rsidR="00A1186E">
        <w:t>8</w:t>
      </w:r>
      <w:r w:rsidR="003E6952">
        <w:t>]</w:t>
      </w:r>
      <w:r>
        <w:t>.</w:t>
      </w:r>
    </w:p>
    <w:p w14:paraId="078F8798" w14:textId="6958BB06" w:rsidR="00CF2E43" w:rsidRDefault="00A141AD" w:rsidP="00817E0C">
      <w:pPr>
        <w:pStyle w:val="BodyTextIndent"/>
      </w:pPr>
      <w:r>
        <w:t xml:space="preserve">The </w:t>
      </w:r>
      <w:r w:rsidR="00FD1DC0">
        <w:t xml:space="preserve">cryogenic system is still among the top contributors to downtime, but has significantly improved </w:t>
      </w:r>
      <w:r w:rsidR="00DB0E12">
        <w:t xml:space="preserve">its availability in </w:t>
      </w:r>
      <w:r w:rsidR="00FD1DC0">
        <w:t xml:space="preserve">2016 </w:t>
      </w:r>
      <w:r w:rsidR="003E6952">
        <w:t>[</w:t>
      </w:r>
      <w:r w:rsidR="00A1186E">
        <w:t>9</w:t>
      </w:r>
      <w:r w:rsidR="003E6952">
        <w:t>]</w:t>
      </w:r>
      <w:r w:rsidR="00FD1DC0">
        <w:t>. This is due to the optimization of the cryogenic configuration (</w:t>
      </w:r>
      <w:r w:rsidR="001D4C40">
        <w:t xml:space="preserve">only </w:t>
      </w:r>
      <w:r w:rsidR="00DB0E12">
        <w:t>four</w:t>
      </w:r>
      <w:r w:rsidR="00FD1DC0">
        <w:t xml:space="preserve"> cold-compressor units</w:t>
      </w:r>
      <w:r w:rsidR="001D4C40">
        <w:t xml:space="preserve"> supply the eight arcs</w:t>
      </w:r>
      <w:r w:rsidR="00FD1DC0">
        <w:t>) which led to a reduced failure rate and the implementation of the feed-forward system for the dynamic of compensation of transient heat-loads on the beam screen</w:t>
      </w:r>
      <w:r w:rsidR="00E43F1A">
        <w:t>.</w:t>
      </w:r>
      <w:r w:rsidR="00FD1DC0">
        <w:t xml:space="preserve"> </w:t>
      </w:r>
      <w:r w:rsidR="001D4C40">
        <w:t>Also,</w:t>
      </w:r>
      <w:r w:rsidR="00FD1DC0">
        <w:t xml:space="preserve"> the issue</w:t>
      </w:r>
      <w:r w:rsidR="001D4C40">
        <w:t>s</w:t>
      </w:r>
      <w:r w:rsidR="00FD1DC0">
        <w:t xml:space="preserve"> observed for DFB level adjustments in 2015 were solved.</w:t>
      </w:r>
      <w:r w:rsidR="00EF723D">
        <w:t xml:space="preserve"> These factors </w:t>
      </w:r>
      <w:r w:rsidR="00CF2E43">
        <w:t xml:space="preserve">resulted in major reduction of the losses of cryo-maintain and therefore </w:t>
      </w:r>
      <w:r w:rsidR="00DB0E12">
        <w:t xml:space="preserve">reduced the number of </w:t>
      </w:r>
      <w:r w:rsidR="00CF2E43">
        <w:t xml:space="preserve">premature </w:t>
      </w:r>
      <w:r w:rsidR="00DB0E12">
        <w:t xml:space="preserve">beam </w:t>
      </w:r>
      <w:r w:rsidR="00CF2E43">
        <w:t>dumps.</w:t>
      </w:r>
    </w:p>
    <w:p w14:paraId="4A821CF8" w14:textId="0C0BCD12" w:rsidR="006801BC" w:rsidRDefault="00CF2E43" w:rsidP="00817E0C">
      <w:pPr>
        <w:pStyle w:val="BodyTextIndent"/>
      </w:pPr>
      <w:r>
        <w:t>The QPS</w:t>
      </w:r>
      <w:r w:rsidR="009059E3">
        <w:t xml:space="preserve"> </w:t>
      </w:r>
      <w:r>
        <w:t>operated very reliably throughout the year, with an average availability above 99 %</w:t>
      </w:r>
      <w:r w:rsidR="0090385D">
        <w:t xml:space="preserve"> [10]</w:t>
      </w:r>
      <w:r>
        <w:t>. This is a result of the efforts invested in the improvements of the system over the past years. In particular, mitigations deployed in the YETS 15-16 on 600 A quench detection systems have proven to be very effective against radiation induced failures.</w:t>
      </w:r>
    </w:p>
    <w:p w14:paraId="7C9E419D" w14:textId="5ACC3001" w:rsidR="00DD68C4" w:rsidRDefault="00DB0E12" w:rsidP="00817E0C">
      <w:pPr>
        <w:pStyle w:val="BodyTextIndent"/>
      </w:pPr>
      <w:r>
        <w:t>A f</w:t>
      </w:r>
      <w:r w:rsidR="003679CF">
        <w:t>ew more events are of note</w:t>
      </w:r>
      <w:r>
        <w:t>;</w:t>
      </w:r>
      <w:r w:rsidR="003679CF">
        <w:t xml:space="preserve"> </w:t>
      </w:r>
      <w:r>
        <w:t xml:space="preserve">for </w:t>
      </w:r>
      <w:r w:rsidR="003679CF">
        <w:t>magnet circuits, a long stop (</w:t>
      </w:r>
      <w:r w:rsidR="00CF2E43">
        <w:t>about 40</w:t>
      </w:r>
      <w:r w:rsidR="003679CF">
        <w:t xml:space="preserve"> h) was required for the investigation of the suspected inter-turn short in RB.</w:t>
      </w:r>
      <w:r w:rsidR="003E1340">
        <w:t>A</w:t>
      </w:r>
      <w:r w:rsidR="003679CF">
        <w:t>12.</w:t>
      </w:r>
      <w:r w:rsidR="00286A30">
        <w:t xml:space="preserve"> </w:t>
      </w:r>
      <w:r w:rsidR="003679CF">
        <w:t>Concerning the Beam Dumping System</w:t>
      </w:r>
      <w:r w:rsidR="0090385D">
        <w:t xml:space="preserve"> [11]</w:t>
      </w:r>
      <w:r w:rsidR="003679CF">
        <w:t>, two MKB erratics occurred in 2016, leading to synchronous beam dumps. These required the replacement of two generators and a system revalidation (10 + 5 h for each of the two events). In addition, one more generator was preventively replaced (10 h).</w:t>
      </w:r>
    </w:p>
    <w:p w14:paraId="57EE8C8D" w14:textId="77777777" w:rsidR="00826732" w:rsidRDefault="00826732" w:rsidP="00826732">
      <w:pPr>
        <w:pStyle w:val="Heading2"/>
        <w:spacing w:before="180"/>
      </w:pPr>
      <w:r>
        <w:t>Conclusions</w:t>
      </w:r>
    </w:p>
    <w:p w14:paraId="7592D39D" w14:textId="5ADAC954" w:rsidR="00DD09A7" w:rsidRDefault="00AE05C9" w:rsidP="00DD09A7">
      <w:pPr>
        <w:pStyle w:val="BodyTextIndent"/>
      </w:pPr>
      <w:r>
        <w:t>The LHC exhibited unprecedented availability in 2016, which resulted in the production of 40 fb</w:t>
      </w:r>
      <w:r w:rsidRPr="0090385D">
        <w:rPr>
          <w:vertAlign w:val="superscript"/>
        </w:rPr>
        <w:t>-1</w:t>
      </w:r>
      <w:r>
        <w:t xml:space="preserve"> of integrated luminosity, well beyond the target set at the beginning of the year</w:t>
      </w:r>
      <w:r w:rsidR="008E13CA">
        <w:t>.</w:t>
      </w:r>
      <w:r>
        <w:t xml:space="preserve"> Several factors contributed to this success, </w:t>
      </w:r>
      <w:r w:rsidR="0090385D">
        <w:t>certainly</w:t>
      </w:r>
      <w:r>
        <w:t xml:space="preserve"> </w:t>
      </w:r>
      <w:r w:rsidR="0090385D">
        <w:t>the</w:t>
      </w:r>
      <w:r>
        <w:t xml:space="preserve"> profound understanding of the machine and the improved system reliability. In this respect, all mitigation measures deployed in LS1 and the YETS</w:t>
      </w:r>
      <w:r w:rsidR="00DB0E12">
        <w:t xml:space="preserve"> </w:t>
      </w:r>
      <w:r>
        <w:t>15-16 have proven to be very effective in operation.</w:t>
      </w:r>
      <w:r w:rsidR="008E13CA">
        <w:t xml:space="preserve"> </w:t>
      </w:r>
      <w:r>
        <w:t>Furthermore, the change</w:t>
      </w:r>
      <w:r w:rsidR="0090385D">
        <w:t>s</w:t>
      </w:r>
      <w:r>
        <w:t xml:space="preserve"> of critical settings/configuration</w:t>
      </w:r>
      <w:r w:rsidR="0090385D">
        <w:t>s</w:t>
      </w:r>
      <w:r>
        <w:t xml:space="preserve"> (BLM thresholds, cryogenic feed-forward, etc.) w</w:t>
      </w:r>
      <w:r w:rsidR="0090385D">
        <w:t>ere</w:t>
      </w:r>
      <w:r>
        <w:t xml:space="preserve"> a key factor for the improved performance. </w:t>
      </w:r>
      <w:r w:rsidR="00DD09A7">
        <w:t xml:space="preserve"> </w:t>
      </w:r>
    </w:p>
    <w:p w14:paraId="6A703FDF" w14:textId="46991FD6" w:rsidR="00303954" w:rsidRPr="006B4648" w:rsidRDefault="008E13CA" w:rsidP="006B4648">
      <w:pPr>
        <w:pStyle w:val="BodyTextIndent"/>
      </w:pPr>
      <w:r>
        <w:t>In 201</w:t>
      </w:r>
      <w:r w:rsidR="00AE05C9">
        <w:t xml:space="preserve">7 the machine </w:t>
      </w:r>
      <w:r w:rsidR="00DB0E12">
        <w:t xml:space="preserve">should </w:t>
      </w:r>
      <w:r w:rsidR="00AE05C9">
        <w:t>profit from</w:t>
      </w:r>
      <w:r>
        <w:t xml:space="preserve"> the </w:t>
      </w:r>
      <w:r w:rsidR="00AE05C9">
        <w:t>lessons learn</w:t>
      </w:r>
      <w:r w:rsidR="00DB0E12">
        <w:t>ed</w:t>
      </w:r>
      <w:r w:rsidR="00AE05C9">
        <w:t xml:space="preserve"> in 2016 and from the continued machine conditioning</w:t>
      </w:r>
      <w:r w:rsidR="00717DF0">
        <w:t>.</w:t>
      </w:r>
      <w:r w:rsidR="00AE05C9">
        <w:t xml:space="preserve"> </w:t>
      </w:r>
      <w:r w:rsidR="00DB0E12">
        <w:rPr>
          <w:lang w:val="en-US"/>
        </w:rPr>
        <w:t xml:space="preserve">Similar </w:t>
      </w:r>
      <w:r w:rsidR="006B4648">
        <w:rPr>
          <w:lang w:val="en-US"/>
        </w:rPr>
        <w:t xml:space="preserve">equipment </w:t>
      </w:r>
      <w:r w:rsidR="00814BF0" w:rsidRPr="00AE05C9">
        <w:rPr>
          <w:lang w:val="en-US"/>
        </w:rPr>
        <w:t xml:space="preserve">availability </w:t>
      </w:r>
      <w:r w:rsidR="00DB0E12">
        <w:rPr>
          <w:lang w:val="en-US"/>
        </w:rPr>
        <w:t>should be observed in 2017, as that which was experienced in 2017</w:t>
      </w:r>
      <w:r w:rsidR="006B4648">
        <w:rPr>
          <w:lang w:val="en-US"/>
        </w:rPr>
        <w:t>. Nevertheless</w:t>
      </w:r>
      <w:r w:rsidR="0090385D">
        <w:rPr>
          <w:lang w:val="en-US"/>
        </w:rPr>
        <w:t>,</w:t>
      </w:r>
      <w:r w:rsidR="006B4648">
        <w:rPr>
          <w:lang w:val="en-US"/>
        </w:rPr>
        <w:t xml:space="preserve"> it is important to consistently monitor the performance of the different systems </w:t>
      </w:r>
      <w:r w:rsidR="00814BF0" w:rsidRPr="006B4648">
        <w:rPr>
          <w:lang w:val="en-US"/>
        </w:rPr>
        <w:t xml:space="preserve">to </w:t>
      </w:r>
      <w:r w:rsidR="00DB0E12">
        <w:rPr>
          <w:lang w:val="en-US"/>
        </w:rPr>
        <w:t>identify</w:t>
      </w:r>
      <w:r w:rsidR="00814BF0" w:rsidRPr="006B4648">
        <w:rPr>
          <w:lang w:val="en-US"/>
        </w:rPr>
        <w:t xml:space="preserve"> recurring effects </w:t>
      </w:r>
      <w:r w:rsidR="00DB0E12">
        <w:rPr>
          <w:lang w:val="en-US"/>
        </w:rPr>
        <w:t xml:space="preserve">and </w:t>
      </w:r>
      <w:r w:rsidR="0090385D">
        <w:rPr>
          <w:lang w:val="en-US"/>
        </w:rPr>
        <w:t>the</w:t>
      </w:r>
      <w:r w:rsidR="00814BF0" w:rsidRPr="006B4648">
        <w:rPr>
          <w:lang w:val="en-US"/>
        </w:rPr>
        <w:t xml:space="preserve"> first signs of </w:t>
      </w:r>
      <w:r w:rsidR="00DB0E12">
        <w:rPr>
          <w:lang w:val="en-US"/>
        </w:rPr>
        <w:t xml:space="preserve">component ageing and end of </w:t>
      </w:r>
      <w:r w:rsidR="00DB0E12">
        <w:rPr>
          <w:lang w:val="en-US"/>
        </w:rPr>
        <w:t>life</w:t>
      </w:r>
      <w:r w:rsidR="006B4648">
        <w:rPr>
          <w:lang w:val="en-US"/>
        </w:rPr>
        <w:t xml:space="preserve">. </w:t>
      </w:r>
      <w:r w:rsidR="00DB0E12">
        <w:rPr>
          <w:lang w:val="en-US"/>
        </w:rPr>
        <w:t xml:space="preserve">Changes in accelerator </w:t>
      </w:r>
      <w:r w:rsidR="006B4648">
        <w:rPr>
          <w:lang w:val="en-US"/>
        </w:rPr>
        <w:t>operating conditions could impact on the availability</w:t>
      </w:r>
      <w:r w:rsidR="00DB0E12">
        <w:rPr>
          <w:lang w:val="en-US"/>
        </w:rPr>
        <w:t>;</w:t>
      </w:r>
      <w:r w:rsidR="006B4648">
        <w:rPr>
          <w:lang w:val="en-US"/>
        </w:rPr>
        <w:t xml:space="preserve"> </w:t>
      </w:r>
      <w:r w:rsidR="00DB0E12">
        <w:rPr>
          <w:lang w:val="en-US"/>
        </w:rPr>
        <w:t>for example,</w:t>
      </w:r>
      <w:r w:rsidR="006B4648">
        <w:rPr>
          <w:lang w:val="en-US"/>
        </w:rPr>
        <w:t xml:space="preserve"> time might be required to optimize the injection of trains of 288 bunches. In addition, the</w:t>
      </w:r>
      <w:r w:rsidR="003E05AE">
        <w:rPr>
          <w:lang w:val="en-US"/>
        </w:rPr>
        <w:t xml:space="preserve"> possible</w:t>
      </w:r>
      <w:r w:rsidR="006B4648">
        <w:rPr>
          <w:lang w:val="en-US"/>
        </w:rPr>
        <w:t xml:space="preserve"> deconditioning </w:t>
      </w:r>
      <w:r w:rsidR="00814BF0" w:rsidRPr="006B4648">
        <w:rPr>
          <w:lang w:val="en-US"/>
        </w:rPr>
        <w:t xml:space="preserve">of </w:t>
      </w:r>
      <w:r w:rsidR="00DB0E12">
        <w:rPr>
          <w:lang w:val="en-US"/>
        </w:rPr>
        <w:t>sector 1-2</w:t>
      </w:r>
      <w:r w:rsidR="00DB0E12" w:rsidRPr="006B4648">
        <w:rPr>
          <w:lang w:val="en-US"/>
        </w:rPr>
        <w:t xml:space="preserve"> </w:t>
      </w:r>
      <w:r w:rsidR="00814BF0" w:rsidRPr="006B4648">
        <w:rPr>
          <w:lang w:val="en-US"/>
        </w:rPr>
        <w:t>following</w:t>
      </w:r>
      <w:r w:rsidR="006B4648">
        <w:rPr>
          <w:lang w:val="en-US"/>
        </w:rPr>
        <w:t xml:space="preserve"> </w:t>
      </w:r>
      <w:r w:rsidR="00DB0E12">
        <w:rPr>
          <w:lang w:val="en-US"/>
        </w:rPr>
        <w:t>the dipole</w:t>
      </w:r>
      <w:r w:rsidR="00DB0E12" w:rsidRPr="006B4648">
        <w:rPr>
          <w:lang w:val="en-US"/>
        </w:rPr>
        <w:t xml:space="preserve"> </w:t>
      </w:r>
      <w:r w:rsidR="00814BF0" w:rsidRPr="006B4648">
        <w:rPr>
          <w:lang w:val="en-US"/>
        </w:rPr>
        <w:t>magnet replacement</w:t>
      </w:r>
      <w:r w:rsidR="006B4648">
        <w:rPr>
          <w:lang w:val="en-US"/>
        </w:rPr>
        <w:t xml:space="preserve"> will have to be assessed in terms of </w:t>
      </w:r>
      <w:r w:rsidR="00814BF0" w:rsidRPr="006B4648">
        <w:rPr>
          <w:lang w:val="en-US"/>
        </w:rPr>
        <w:t>e-cloud and UFO</w:t>
      </w:r>
      <w:r w:rsidR="006B4648">
        <w:rPr>
          <w:lang w:val="en-US"/>
        </w:rPr>
        <w:t xml:space="preserve"> rate.</w:t>
      </w:r>
      <w:r w:rsidR="00814BF0" w:rsidRPr="006B4648">
        <w:rPr>
          <w:lang w:val="en-US"/>
        </w:rPr>
        <w:t xml:space="preserve"> </w:t>
      </w:r>
    </w:p>
    <w:p w14:paraId="032F3178" w14:textId="77777777" w:rsidR="00047768" w:rsidRDefault="00047768" w:rsidP="00047768">
      <w:pPr>
        <w:pStyle w:val="Heading2"/>
      </w:pPr>
      <w:r>
        <w:t>acknowledgmentS</w:t>
      </w:r>
    </w:p>
    <w:p w14:paraId="44898596" w14:textId="4CFE6B54" w:rsidR="005335B3" w:rsidRPr="00BC6316" w:rsidRDefault="00717DF0" w:rsidP="001C42BA">
      <w:pPr>
        <w:pStyle w:val="BodyTextIndent"/>
      </w:pPr>
      <w:r>
        <w:t>The author would like to acknowledge the work of</w:t>
      </w:r>
      <w:r w:rsidR="001A06CD">
        <w:t xml:space="preserve"> </w:t>
      </w:r>
      <w:r w:rsidR="00CF2771">
        <w:t>the AWG</w:t>
      </w:r>
      <w:r w:rsidR="003E1340">
        <w:t>-core team for the preparation of the material for this paper.</w:t>
      </w:r>
      <w:r w:rsidR="00CF2771">
        <w:t xml:space="preserve"> </w:t>
      </w:r>
      <w:r w:rsidR="0088306E">
        <w:t>The author</w:t>
      </w:r>
      <w:r w:rsidR="003E1340">
        <w:t xml:space="preserve"> would</w:t>
      </w:r>
      <w:r w:rsidR="007A5D02">
        <w:t xml:space="preserve"> also</w:t>
      </w:r>
      <w:r w:rsidR="003E1340">
        <w:t xml:space="preserve"> like to thank the AWG </w:t>
      </w:r>
      <w:r w:rsidR="006D7A49">
        <w:t>members,</w:t>
      </w:r>
      <w:r w:rsidR="005335B3">
        <w:t xml:space="preserve"> </w:t>
      </w:r>
      <w:r>
        <w:t xml:space="preserve">the AFT team </w:t>
      </w:r>
      <w:r w:rsidR="006D7A49">
        <w:t xml:space="preserve">and the co-authors </w:t>
      </w:r>
      <w:r>
        <w:t>for the precious discussions and valuable inputs</w:t>
      </w:r>
      <w:r w:rsidR="001A06CD">
        <w:t>.</w:t>
      </w:r>
      <w:r w:rsidR="005335B3" w:rsidRPr="00BC6316">
        <w:t xml:space="preserve"> </w:t>
      </w:r>
    </w:p>
    <w:p w14:paraId="6AD69FC9" w14:textId="77777777" w:rsidR="00047768" w:rsidRDefault="00047768" w:rsidP="00047768">
      <w:pPr>
        <w:pStyle w:val="Heading2"/>
      </w:pPr>
      <w:r>
        <w:t>References</w:t>
      </w:r>
    </w:p>
    <w:p w14:paraId="46BCE020" w14:textId="3940C88B" w:rsidR="00047768" w:rsidRPr="00DB38F2" w:rsidRDefault="00047768" w:rsidP="00047768">
      <w:pPr>
        <w:pStyle w:val="Reference"/>
        <w:rPr>
          <w:rFonts w:cs="Times"/>
          <w:sz w:val="18"/>
          <w:szCs w:val="18"/>
        </w:rPr>
      </w:pPr>
      <w:r w:rsidRPr="00351D48">
        <w:rPr>
          <w:sz w:val="18"/>
          <w:szCs w:val="18"/>
        </w:rPr>
        <w:t>[</w:t>
      </w:r>
      <w:r w:rsidRPr="00DB38F2">
        <w:rPr>
          <w:rFonts w:cs="Times"/>
          <w:sz w:val="18"/>
          <w:szCs w:val="18"/>
        </w:rPr>
        <w:t>1]</w:t>
      </w:r>
      <w:r w:rsidRPr="00DB38F2">
        <w:rPr>
          <w:rFonts w:cs="Times"/>
          <w:sz w:val="18"/>
          <w:szCs w:val="18"/>
        </w:rPr>
        <w:tab/>
      </w:r>
      <w:r w:rsidR="00064F39" w:rsidRPr="00DB38F2">
        <w:rPr>
          <w:rFonts w:cs="Times"/>
          <w:sz w:val="18"/>
          <w:szCs w:val="18"/>
        </w:rPr>
        <w:t>“</w:t>
      </w:r>
      <w:r w:rsidR="00FE678C" w:rsidRPr="00DB38F2">
        <w:rPr>
          <w:rFonts w:cs="Times"/>
          <w:bCs/>
          <w:color w:val="000000"/>
          <w:sz w:val="18"/>
          <w:szCs w:val="18"/>
          <w:bdr w:val="none" w:sz="0" w:space="0" w:color="auto" w:frame="1"/>
          <w:shd w:val="clear" w:color="auto" w:fill="FFFFFF"/>
        </w:rPr>
        <w:t>LHC Availability 2016: Restart to Technical Stop 1</w:t>
      </w:r>
      <w:r w:rsidR="00064F39" w:rsidRPr="00DB38F2">
        <w:rPr>
          <w:rFonts w:cs="Times"/>
          <w:sz w:val="18"/>
          <w:szCs w:val="18"/>
        </w:rPr>
        <w:t xml:space="preserve">”, B. </w:t>
      </w:r>
      <w:r w:rsidR="003766F2" w:rsidRPr="00DB38F2">
        <w:rPr>
          <w:rFonts w:cs="Times"/>
          <w:sz w:val="18"/>
          <w:szCs w:val="18"/>
        </w:rPr>
        <w:t>Todd</w:t>
      </w:r>
      <w:r w:rsidR="00064F39" w:rsidRPr="00DB38F2">
        <w:rPr>
          <w:rFonts w:cs="Times"/>
          <w:sz w:val="18"/>
          <w:szCs w:val="18"/>
        </w:rPr>
        <w:t xml:space="preserve">, </w:t>
      </w:r>
      <w:r w:rsidR="00FE678C" w:rsidRPr="00DB38F2">
        <w:rPr>
          <w:rFonts w:cs="Times"/>
          <w:sz w:val="18"/>
          <w:szCs w:val="18"/>
        </w:rPr>
        <w:t xml:space="preserve">L. Ponce, A. Apollonio, </w:t>
      </w:r>
      <w:r w:rsidR="00DB38F2" w:rsidRPr="00DB38F2">
        <w:rPr>
          <w:rFonts w:cs="Times"/>
          <w:color w:val="000000"/>
          <w:sz w:val="18"/>
          <w:szCs w:val="18"/>
          <w:shd w:val="clear" w:color="auto" w:fill="FFFFFF"/>
        </w:rPr>
        <w:t>CERN-ACC-NOTE-2016-0047</w:t>
      </w:r>
      <w:r w:rsidR="00DB38F2" w:rsidRPr="00DB38F2">
        <w:rPr>
          <w:rFonts w:cs="Times"/>
          <w:sz w:val="18"/>
          <w:szCs w:val="18"/>
        </w:rPr>
        <w:t xml:space="preserve">, </w:t>
      </w:r>
      <w:r w:rsidR="00064F39" w:rsidRPr="00DB38F2">
        <w:rPr>
          <w:rFonts w:cs="Times"/>
          <w:sz w:val="18"/>
          <w:szCs w:val="18"/>
        </w:rPr>
        <w:t>2016</w:t>
      </w:r>
      <w:r w:rsidR="008A751E" w:rsidRPr="00DB38F2">
        <w:rPr>
          <w:rFonts w:cs="Times"/>
          <w:sz w:val="18"/>
          <w:szCs w:val="18"/>
        </w:rPr>
        <w:t xml:space="preserve">. </w:t>
      </w:r>
    </w:p>
    <w:p w14:paraId="56EEFA13" w14:textId="371DE101" w:rsidR="00C42D31" w:rsidRPr="00DB38F2" w:rsidRDefault="00C42D31" w:rsidP="00C42D31">
      <w:pPr>
        <w:pStyle w:val="Reference"/>
        <w:rPr>
          <w:rFonts w:cs="Times"/>
          <w:sz w:val="18"/>
          <w:szCs w:val="18"/>
        </w:rPr>
      </w:pPr>
      <w:r w:rsidRPr="00DB38F2">
        <w:rPr>
          <w:rFonts w:cs="Times"/>
          <w:sz w:val="18"/>
          <w:szCs w:val="18"/>
        </w:rPr>
        <w:t>[2]</w:t>
      </w:r>
      <w:r w:rsidRPr="00DB38F2">
        <w:rPr>
          <w:rFonts w:cs="Times"/>
          <w:sz w:val="18"/>
          <w:szCs w:val="18"/>
        </w:rPr>
        <w:tab/>
        <w:t>“</w:t>
      </w:r>
      <w:r w:rsidR="00DB38F2" w:rsidRPr="00DB38F2">
        <w:rPr>
          <w:rFonts w:cs="Times"/>
          <w:bCs/>
          <w:color w:val="000000"/>
          <w:sz w:val="18"/>
          <w:szCs w:val="18"/>
          <w:bdr w:val="none" w:sz="0" w:space="0" w:color="auto" w:frame="1"/>
          <w:shd w:val="clear" w:color="auto" w:fill="FFFFFF"/>
        </w:rPr>
        <w:t>LHC Availability 2016: Technical Stop 1 to Technical Stop 2</w:t>
      </w:r>
      <w:r w:rsidR="00DB38F2" w:rsidRPr="00DB38F2">
        <w:rPr>
          <w:rFonts w:cs="Times"/>
          <w:sz w:val="18"/>
          <w:szCs w:val="18"/>
        </w:rPr>
        <w:t xml:space="preserve">”, B. Todd, L. Ponce, A. Apollonio, </w:t>
      </w:r>
      <w:r w:rsidR="00DB38F2" w:rsidRPr="00DB38F2">
        <w:rPr>
          <w:rFonts w:cs="Times"/>
          <w:color w:val="000000"/>
          <w:sz w:val="18"/>
          <w:szCs w:val="18"/>
          <w:shd w:val="clear" w:color="auto" w:fill="FFFFFF"/>
        </w:rPr>
        <w:t>CERN-ACC-NOTE-2016-0066,</w:t>
      </w:r>
      <w:r w:rsidRPr="00DB38F2">
        <w:rPr>
          <w:rFonts w:cs="Times"/>
          <w:sz w:val="18"/>
          <w:szCs w:val="18"/>
        </w:rPr>
        <w:t xml:space="preserve"> 2016. </w:t>
      </w:r>
    </w:p>
    <w:p w14:paraId="28FC8B90" w14:textId="26180713" w:rsidR="002C13DF" w:rsidRPr="00DB38F2" w:rsidRDefault="002C13DF" w:rsidP="002C13DF">
      <w:pPr>
        <w:pStyle w:val="Reference"/>
        <w:rPr>
          <w:rFonts w:cs="Times"/>
          <w:sz w:val="18"/>
          <w:szCs w:val="18"/>
        </w:rPr>
      </w:pPr>
      <w:r w:rsidRPr="00DB38F2">
        <w:rPr>
          <w:rFonts w:cs="Times"/>
          <w:sz w:val="18"/>
          <w:szCs w:val="18"/>
        </w:rPr>
        <w:t>[3]</w:t>
      </w:r>
      <w:r w:rsidRPr="00DB38F2">
        <w:rPr>
          <w:rFonts w:cs="Times"/>
          <w:sz w:val="18"/>
          <w:szCs w:val="18"/>
        </w:rPr>
        <w:tab/>
        <w:t>“</w:t>
      </w:r>
      <w:r w:rsidR="00DB38F2" w:rsidRPr="00DB38F2">
        <w:rPr>
          <w:rFonts w:cs="Times"/>
          <w:bCs/>
          <w:color w:val="000000"/>
          <w:sz w:val="18"/>
          <w:szCs w:val="18"/>
          <w:bdr w:val="none" w:sz="0" w:space="0" w:color="auto" w:frame="1"/>
          <w:shd w:val="clear" w:color="auto" w:fill="FFFFFF"/>
        </w:rPr>
        <w:t>LHC Availability 2016: Technical Stop 2 to Technical Stop 3</w:t>
      </w:r>
      <w:r w:rsidR="00DB38F2" w:rsidRPr="00DB38F2">
        <w:rPr>
          <w:rFonts w:cs="Times"/>
          <w:sz w:val="18"/>
          <w:szCs w:val="18"/>
        </w:rPr>
        <w:t xml:space="preserve">”, B. Todd, L. Ponce, A. Apollonio, </w:t>
      </w:r>
      <w:r w:rsidR="00DB38F2" w:rsidRPr="00DB38F2">
        <w:rPr>
          <w:rFonts w:cs="Times"/>
          <w:color w:val="000000"/>
          <w:sz w:val="18"/>
          <w:szCs w:val="18"/>
          <w:shd w:val="clear" w:color="auto" w:fill="FFFFFF"/>
        </w:rPr>
        <w:t xml:space="preserve">CERN-ACC-NOTE-2016-0065, </w:t>
      </w:r>
      <w:r w:rsidRPr="00DB38F2">
        <w:rPr>
          <w:rFonts w:cs="Times"/>
          <w:sz w:val="18"/>
          <w:szCs w:val="18"/>
        </w:rPr>
        <w:t xml:space="preserve">2016. </w:t>
      </w:r>
    </w:p>
    <w:p w14:paraId="7B82D2EC" w14:textId="54CACC72" w:rsidR="002C13DF" w:rsidRPr="00DB38F2" w:rsidRDefault="002C13DF" w:rsidP="002C13DF">
      <w:pPr>
        <w:pStyle w:val="Reference"/>
        <w:rPr>
          <w:rFonts w:cs="Times"/>
          <w:sz w:val="18"/>
          <w:szCs w:val="18"/>
        </w:rPr>
      </w:pPr>
      <w:r w:rsidRPr="00DB38F2">
        <w:rPr>
          <w:rFonts w:cs="Times"/>
          <w:sz w:val="18"/>
          <w:szCs w:val="18"/>
        </w:rPr>
        <w:t>[4]</w:t>
      </w:r>
      <w:r w:rsidRPr="00DB38F2">
        <w:rPr>
          <w:rFonts w:cs="Times"/>
          <w:sz w:val="18"/>
          <w:szCs w:val="18"/>
        </w:rPr>
        <w:tab/>
        <w:t>“</w:t>
      </w:r>
      <w:r w:rsidR="00DB38F2" w:rsidRPr="00DB38F2">
        <w:rPr>
          <w:rFonts w:cs="Times"/>
          <w:bCs/>
          <w:color w:val="000000"/>
          <w:sz w:val="18"/>
          <w:szCs w:val="18"/>
          <w:bdr w:val="none" w:sz="0" w:space="0" w:color="auto" w:frame="1"/>
          <w:shd w:val="clear" w:color="auto" w:fill="FFFFFF"/>
        </w:rPr>
        <w:t>LHC Availability 2016: Proton Physics</w:t>
      </w:r>
      <w:r w:rsidR="00DB38F2" w:rsidRPr="00DB38F2">
        <w:rPr>
          <w:rFonts w:cs="Times"/>
          <w:sz w:val="18"/>
          <w:szCs w:val="18"/>
        </w:rPr>
        <w:t>”, B. Todd, L. Ponce, A. Apollonio,</w:t>
      </w:r>
      <w:r w:rsidRPr="00DB38F2">
        <w:rPr>
          <w:rFonts w:cs="Times"/>
          <w:sz w:val="18"/>
          <w:szCs w:val="18"/>
        </w:rPr>
        <w:t xml:space="preserve"> </w:t>
      </w:r>
      <w:r w:rsidR="00DB38F2" w:rsidRPr="00DB38F2">
        <w:rPr>
          <w:rFonts w:cs="Times"/>
          <w:color w:val="000000"/>
          <w:sz w:val="18"/>
          <w:szCs w:val="18"/>
          <w:shd w:val="clear" w:color="auto" w:fill="FFFFFF"/>
        </w:rPr>
        <w:t xml:space="preserve">CERN-ACC-NOTE-2016-0067, </w:t>
      </w:r>
      <w:r w:rsidRPr="00DB38F2">
        <w:rPr>
          <w:rFonts w:cs="Times"/>
          <w:sz w:val="18"/>
          <w:szCs w:val="18"/>
        </w:rPr>
        <w:t xml:space="preserve">2016. </w:t>
      </w:r>
    </w:p>
    <w:p w14:paraId="64E2B01A" w14:textId="63AD2A7C" w:rsidR="002C13DF" w:rsidRDefault="002C13DF" w:rsidP="002C13DF">
      <w:pPr>
        <w:pStyle w:val="Reference"/>
        <w:rPr>
          <w:sz w:val="18"/>
          <w:szCs w:val="18"/>
        </w:rPr>
      </w:pPr>
      <w:r w:rsidRPr="00351D48">
        <w:rPr>
          <w:sz w:val="18"/>
          <w:szCs w:val="18"/>
        </w:rPr>
        <w:t>[</w:t>
      </w:r>
      <w:r>
        <w:rPr>
          <w:sz w:val="18"/>
          <w:szCs w:val="18"/>
        </w:rPr>
        <w:t>5</w:t>
      </w:r>
      <w:r w:rsidRPr="00351D48">
        <w:rPr>
          <w:sz w:val="18"/>
          <w:szCs w:val="18"/>
        </w:rPr>
        <w:t>]</w:t>
      </w:r>
      <w:r w:rsidRPr="00351D48">
        <w:rPr>
          <w:sz w:val="18"/>
          <w:szCs w:val="18"/>
        </w:rPr>
        <w:tab/>
      </w:r>
      <w:r>
        <w:rPr>
          <w:sz w:val="18"/>
          <w:szCs w:val="18"/>
        </w:rPr>
        <w:t>“</w:t>
      </w:r>
      <w:r w:rsidR="00EF723D">
        <w:rPr>
          <w:sz w:val="18"/>
          <w:szCs w:val="18"/>
        </w:rPr>
        <w:t>Turnaround and pre-cycles: analysis and improvements”. K. Fuchsberger</w:t>
      </w:r>
      <w:r>
        <w:rPr>
          <w:sz w:val="18"/>
          <w:szCs w:val="18"/>
        </w:rPr>
        <w:t xml:space="preserve">, </w:t>
      </w:r>
      <w:r w:rsidR="00EF723D">
        <w:rPr>
          <w:sz w:val="18"/>
          <w:szCs w:val="18"/>
        </w:rPr>
        <w:t>7</w:t>
      </w:r>
      <w:r w:rsidRPr="00823EEE">
        <w:rPr>
          <w:sz w:val="18"/>
          <w:szCs w:val="18"/>
          <w:vertAlign w:val="superscript"/>
        </w:rPr>
        <w:t>th</w:t>
      </w:r>
      <w:r w:rsidR="00EF723D">
        <w:rPr>
          <w:sz w:val="18"/>
          <w:szCs w:val="18"/>
        </w:rPr>
        <w:t xml:space="preserve"> Evian Workshop, 2016</w:t>
      </w:r>
      <w:r>
        <w:rPr>
          <w:sz w:val="18"/>
          <w:szCs w:val="18"/>
        </w:rPr>
        <w:t>.</w:t>
      </w:r>
    </w:p>
    <w:p w14:paraId="2C3BA0DF" w14:textId="52F0729F" w:rsidR="00A1186E" w:rsidRDefault="00A1186E" w:rsidP="00A1186E">
      <w:pPr>
        <w:pStyle w:val="Reference"/>
        <w:rPr>
          <w:sz w:val="18"/>
          <w:szCs w:val="18"/>
        </w:rPr>
      </w:pPr>
      <w:r w:rsidRPr="00351D48">
        <w:rPr>
          <w:sz w:val="18"/>
          <w:szCs w:val="18"/>
        </w:rPr>
        <w:t>[</w:t>
      </w:r>
      <w:r>
        <w:rPr>
          <w:sz w:val="18"/>
          <w:szCs w:val="18"/>
        </w:rPr>
        <w:t>6</w:t>
      </w:r>
      <w:r w:rsidRPr="00351D48">
        <w:rPr>
          <w:sz w:val="18"/>
          <w:szCs w:val="18"/>
        </w:rPr>
        <w:t>]</w:t>
      </w:r>
      <w:r w:rsidRPr="00351D48">
        <w:rPr>
          <w:sz w:val="18"/>
          <w:szCs w:val="18"/>
        </w:rPr>
        <w:tab/>
      </w:r>
      <w:r>
        <w:rPr>
          <w:sz w:val="18"/>
          <w:szCs w:val="18"/>
        </w:rPr>
        <w:t>“Technical services: unavailability by machine, root causes, strategy and limitations”, J. Nielsen, 7</w:t>
      </w:r>
      <w:r w:rsidRPr="00823EEE">
        <w:rPr>
          <w:sz w:val="18"/>
          <w:szCs w:val="18"/>
          <w:vertAlign w:val="superscript"/>
        </w:rPr>
        <w:t>th</w:t>
      </w:r>
      <w:r>
        <w:rPr>
          <w:sz w:val="18"/>
          <w:szCs w:val="18"/>
        </w:rPr>
        <w:t xml:space="preserve"> Evian Workshop, 2016.</w:t>
      </w:r>
    </w:p>
    <w:p w14:paraId="79E39E44" w14:textId="7F46F4A5" w:rsidR="00A1186E" w:rsidRDefault="00A1186E" w:rsidP="00A1186E">
      <w:pPr>
        <w:pStyle w:val="Reference"/>
        <w:rPr>
          <w:sz w:val="18"/>
          <w:szCs w:val="18"/>
        </w:rPr>
      </w:pPr>
      <w:r w:rsidRPr="00351D48">
        <w:rPr>
          <w:sz w:val="18"/>
          <w:szCs w:val="18"/>
        </w:rPr>
        <w:t>[</w:t>
      </w:r>
      <w:r>
        <w:rPr>
          <w:sz w:val="18"/>
          <w:szCs w:val="18"/>
        </w:rPr>
        <w:t>7</w:t>
      </w:r>
      <w:r w:rsidRPr="00351D48">
        <w:rPr>
          <w:sz w:val="18"/>
          <w:szCs w:val="18"/>
        </w:rPr>
        <w:t>]</w:t>
      </w:r>
      <w:r w:rsidRPr="00351D48">
        <w:rPr>
          <w:sz w:val="18"/>
          <w:szCs w:val="18"/>
        </w:rPr>
        <w:tab/>
      </w:r>
      <w:r>
        <w:rPr>
          <w:sz w:val="18"/>
          <w:szCs w:val="18"/>
        </w:rPr>
        <w:t xml:space="preserve">“Recurring sources of premature dumps”, </w:t>
      </w:r>
      <w:r w:rsidR="0090385D">
        <w:rPr>
          <w:sz w:val="18"/>
          <w:szCs w:val="18"/>
        </w:rPr>
        <w:t>M</w:t>
      </w:r>
      <w:r>
        <w:rPr>
          <w:sz w:val="18"/>
          <w:szCs w:val="18"/>
        </w:rPr>
        <w:t xml:space="preserve">. </w:t>
      </w:r>
      <w:r w:rsidR="0090385D">
        <w:rPr>
          <w:sz w:val="18"/>
          <w:szCs w:val="18"/>
        </w:rPr>
        <w:t>Zerlauth</w:t>
      </w:r>
      <w:r>
        <w:rPr>
          <w:sz w:val="18"/>
          <w:szCs w:val="18"/>
        </w:rPr>
        <w:t>, 7</w:t>
      </w:r>
      <w:r w:rsidRPr="00823EEE">
        <w:rPr>
          <w:sz w:val="18"/>
          <w:szCs w:val="18"/>
          <w:vertAlign w:val="superscript"/>
        </w:rPr>
        <w:t>th</w:t>
      </w:r>
      <w:r>
        <w:rPr>
          <w:sz w:val="18"/>
          <w:szCs w:val="18"/>
        </w:rPr>
        <w:t xml:space="preserve"> Evian Workshop, 2016.</w:t>
      </w:r>
      <w:r w:rsidRPr="00351D48">
        <w:rPr>
          <w:sz w:val="18"/>
          <w:szCs w:val="18"/>
        </w:rPr>
        <w:t xml:space="preserve"> </w:t>
      </w:r>
    </w:p>
    <w:p w14:paraId="678AC5C3" w14:textId="42E63204" w:rsidR="00944586" w:rsidRDefault="00944586" w:rsidP="00944586">
      <w:pPr>
        <w:pStyle w:val="Reference"/>
        <w:rPr>
          <w:sz w:val="18"/>
          <w:szCs w:val="18"/>
        </w:rPr>
      </w:pPr>
      <w:r w:rsidRPr="00351D48">
        <w:rPr>
          <w:sz w:val="18"/>
          <w:szCs w:val="18"/>
        </w:rPr>
        <w:t>[</w:t>
      </w:r>
      <w:r w:rsidR="0090385D">
        <w:rPr>
          <w:sz w:val="18"/>
          <w:szCs w:val="18"/>
        </w:rPr>
        <w:t>8</w:t>
      </w:r>
      <w:r w:rsidRPr="00351D48">
        <w:rPr>
          <w:sz w:val="18"/>
          <w:szCs w:val="18"/>
        </w:rPr>
        <w:t>]</w:t>
      </w:r>
      <w:r w:rsidRPr="00351D48">
        <w:rPr>
          <w:sz w:val="18"/>
          <w:szCs w:val="18"/>
        </w:rPr>
        <w:tab/>
      </w:r>
      <w:r>
        <w:rPr>
          <w:sz w:val="18"/>
          <w:szCs w:val="18"/>
        </w:rPr>
        <w:t>“</w:t>
      </w:r>
      <w:r w:rsidR="003E6952">
        <w:rPr>
          <w:sz w:val="18"/>
          <w:szCs w:val="18"/>
        </w:rPr>
        <w:t>Injectors: unavailability by machine, root causes, strategy and limitations</w:t>
      </w:r>
      <w:r>
        <w:rPr>
          <w:sz w:val="18"/>
          <w:szCs w:val="18"/>
        </w:rPr>
        <w:t xml:space="preserve">”, </w:t>
      </w:r>
      <w:r w:rsidR="003E6952">
        <w:rPr>
          <w:sz w:val="18"/>
          <w:szCs w:val="18"/>
        </w:rPr>
        <w:t>B</w:t>
      </w:r>
      <w:r>
        <w:rPr>
          <w:sz w:val="18"/>
          <w:szCs w:val="18"/>
        </w:rPr>
        <w:t xml:space="preserve">. </w:t>
      </w:r>
      <w:r w:rsidR="003E6952">
        <w:rPr>
          <w:sz w:val="18"/>
          <w:szCs w:val="18"/>
        </w:rPr>
        <w:t>Mikulec</w:t>
      </w:r>
      <w:r>
        <w:rPr>
          <w:sz w:val="18"/>
          <w:szCs w:val="18"/>
        </w:rPr>
        <w:t xml:space="preserve">, </w:t>
      </w:r>
      <w:r w:rsidR="003E6952">
        <w:rPr>
          <w:sz w:val="18"/>
          <w:szCs w:val="18"/>
        </w:rPr>
        <w:t>7</w:t>
      </w:r>
      <w:r w:rsidRPr="00823EEE">
        <w:rPr>
          <w:sz w:val="18"/>
          <w:szCs w:val="18"/>
          <w:vertAlign w:val="superscript"/>
        </w:rPr>
        <w:t>th</w:t>
      </w:r>
      <w:r>
        <w:rPr>
          <w:sz w:val="18"/>
          <w:szCs w:val="18"/>
        </w:rPr>
        <w:t xml:space="preserve"> Evian Workshop, 201</w:t>
      </w:r>
      <w:r w:rsidR="003E6952">
        <w:rPr>
          <w:sz w:val="18"/>
          <w:szCs w:val="18"/>
        </w:rPr>
        <w:t>6</w:t>
      </w:r>
      <w:r>
        <w:rPr>
          <w:sz w:val="18"/>
          <w:szCs w:val="18"/>
        </w:rPr>
        <w:t>.</w:t>
      </w:r>
    </w:p>
    <w:p w14:paraId="1901A9D3" w14:textId="33FC4BB5" w:rsidR="003E6952" w:rsidRDefault="00944586" w:rsidP="00944586">
      <w:pPr>
        <w:pStyle w:val="Reference"/>
        <w:rPr>
          <w:sz w:val="18"/>
          <w:szCs w:val="18"/>
        </w:rPr>
      </w:pPr>
      <w:r w:rsidRPr="00351D48">
        <w:rPr>
          <w:sz w:val="18"/>
          <w:szCs w:val="18"/>
        </w:rPr>
        <w:t>[</w:t>
      </w:r>
      <w:r w:rsidR="0090385D">
        <w:rPr>
          <w:sz w:val="18"/>
          <w:szCs w:val="18"/>
        </w:rPr>
        <w:t>9</w:t>
      </w:r>
      <w:r w:rsidRPr="00351D48">
        <w:rPr>
          <w:sz w:val="18"/>
          <w:szCs w:val="18"/>
        </w:rPr>
        <w:t>]</w:t>
      </w:r>
      <w:r w:rsidRPr="00351D48">
        <w:rPr>
          <w:sz w:val="18"/>
          <w:szCs w:val="18"/>
        </w:rPr>
        <w:tab/>
      </w:r>
      <w:r>
        <w:rPr>
          <w:sz w:val="18"/>
          <w:szCs w:val="18"/>
        </w:rPr>
        <w:t>“</w:t>
      </w:r>
      <w:r w:rsidR="003E6952">
        <w:rPr>
          <w:sz w:val="18"/>
          <w:szCs w:val="18"/>
        </w:rPr>
        <w:t>Cryogenics: unavailability by machine, root causes, strategy and limitations</w:t>
      </w:r>
      <w:r>
        <w:rPr>
          <w:sz w:val="18"/>
          <w:szCs w:val="18"/>
        </w:rPr>
        <w:t xml:space="preserve">”, </w:t>
      </w:r>
      <w:r w:rsidR="003E6952">
        <w:rPr>
          <w:sz w:val="18"/>
          <w:szCs w:val="18"/>
        </w:rPr>
        <w:t>K. Brodzinski, 7</w:t>
      </w:r>
      <w:r w:rsidR="003E6952" w:rsidRPr="00823EEE">
        <w:rPr>
          <w:sz w:val="18"/>
          <w:szCs w:val="18"/>
          <w:vertAlign w:val="superscript"/>
        </w:rPr>
        <w:t>th</w:t>
      </w:r>
      <w:r w:rsidR="003E6952">
        <w:rPr>
          <w:sz w:val="18"/>
          <w:szCs w:val="18"/>
        </w:rPr>
        <w:t xml:space="preserve"> Evian Workshop, 2016.</w:t>
      </w:r>
      <w:r w:rsidR="003E6952" w:rsidRPr="00351D48">
        <w:rPr>
          <w:sz w:val="18"/>
          <w:szCs w:val="18"/>
        </w:rPr>
        <w:t xml:space="preserve"> </w:t>
      </w:r>
    </w:p>
    <w:p w14:paraId="741C2963" w14:textId="6DC4F70A" w:rsidR="00944586" w:rsidRDefault="00944586" w:rsidP="00944586">
      <w:pPr>
        <w:pStyle w:val="Reference"/>
        <w:rPr>
          <w:sz w:val="18"/>
          <w:szCs w:val="18"/>
        </w:rPr>
      </w:pPr>
      <w:r w:rsidRPr="00351D48">
        <w:rPr>
          <w:sz w:val="18"/>
          <w:szCs w:val="18"/>
        </w:rPr>
        <w:t>[</w:t>
      </w:r>
      <w:r w:rsidR="0090385D">
        <w:rPr>
          <w:sz w:val="18"/>
          <w:szCs w:val="18"/>
        </w:rPr>
        <w:t>10</w:t>
      </w:r>
      <w:r w:rsidRPr="00351D48">
        <w:rPr>
          <w:sz w:val="18"/>
          <w:szCs w:val="18"/>
        </w:rPr>
        <w:t>]</w:t>
      </w:r>
      <w:r w:rsidRPr="00351D48">
        <w:rPr>
          <w:sz w:val="18"/>
          <w:szCs w:val="18"/>
        </w:rPr>
        <w:tab/>
      </w:r>
      <w:r>
        <w:rPr>
          <w:sz w:val="18"/>
          <w:szCs w:val="18"/>
        </w:rPr>
        <w:t>“</w:t>
      </w:r>
      <w:r w:rsidR="0090385D">
        <w:rPr>
          <w:sz w:val="18"/>
          <w:szCs w:val="18"/>
        </w:rPr>
        <w:t>QPS</w:t>
      </w:r>
      <w:r>
        <w:rPr>
          <w:sz w:val="18"/>
          <w:szCs w:val="18"/>
        </w:rPr>
        <w:t xml:space="preserve">”, </w:t>
      </w:r>
      <w:r w:rsidR="0090385D">
        <w:rPr>
          <w:sz w:val="18"/>
          <w:szCs w:val="18"/>
        </w:rPr>
        <w:t>J</w:t>
      </w:r>
      <w:r>
        <w:rPr>
          <w:sz w:val="18"/>
          <w:szCs w:val="18"/>
        </w:rPr>
        <w:t xml:space="preserve">. </w:t>
      </w:r>
      <w:r w:rsidR="0090385D">
        <w:rPr>
          <w:sz w:val="18"/>
          <w:szCs w:val="18"/>
        </w:rPr>
        <w:t>Steckert</w:t>
      </w:r>
      <w:r>
        <w:rPr>
          <w:sz w:val="18"/>
          <w:szCs w:val="18"/>
        </w:rPr>
        <w:t xml:space="preserve">, </w:t>
      </w:r>
      <w:r w:rsidR="0090385D">
        <w:rPr>
          <w:sz w:val="18"/>
          <w:szCs w:val="18"/>
        </w:rPr>
        <w:t>7</w:t>
      </w:r>
      <w:r w:rsidR="0090385D" w:rsidRPr="00823EEE">
        <w:rPr>
          <w:sz w:val="18"/>
          <w:szCs w:val="18"/>
          <w:vertAlign w:val="superscript"/>
        </w:rPr>
        <w:t>th</w:t>
      </w:r>
      <w:r w:rsidR="0090385D">
        <w:rPr>
          <w:sz w:val="18"/>
          <w:szCs w:val="18"/>
        </w:rPr>
        <w:t xml:space="preserve"> Evian Workshop, 2016.</w:t>
      </w:r>
    </w:p>
    <w:p w14:paraId="5EB4639D" w14:textId="415A66DF" w:rsidR="0090385D" w:rsidRDefault="0090385D" w:rsidP="0090385D">
      <w:pPr>
        <w:pStyle w:val="Reference"/>
        <w:rPr>
          <w:sz w:val="18"/>
          <w:szCs w:val="18"/>
        </w:rPr>
      </w:pPr>
      <w:r w:rsidRPr="00351D48">
        <w:rPr>
          <w:sz w:val="18"/>
          <w:szCs w:val="18"/>
        </w:rPr>
        <w:t>[</w:t>
      </w:r>
      <w:r>
        <w:rPr>
          <w:sz w:val="18"/>
          <w:szCs w:val="18"/>
        </w:rPr>
        <w:t>1</w:t>
      </w:r>
      <w:r w:rsidR="003E05AE">
        <w:rPr>
          <w:sz w:val="18"/>
          <w:szCs w:val="18"/>
        </w:rPr>
        <w:t>1</w:t>
      </w:r>
      <w:r w:rsidRPr="00351D48">
        <w:rPr>
          <w:sz w:val="18"/>
          <w:szCs w:val="18"/>
        </w:rPr>
        <w:t>]</w:t>
      </w:r>
      <w:r w:rsidRPr="00351D48">
        <w:rPr>
          <w:sz w:val="18"/>
          <w:szCs w:val="18"/>
        </w:rPr>
        <w:tab/>
      </w:r>
      <w:r>
        <w:rPr>
          <w:sz w:val="18"/>
          <w:szCs w:val="18"/>
        </w:rPr>
        <w:t>“LBDS”, E. Carlier, 7</w:t>
      </w:r>
      <w:r w:rsidRPr="00823EEE">
        <w:rPr>
          <w:sz w:val="18"/>
          <w:szCs w:val="18"/>
          <w:vertAlign w:val="superscript"/>
        </w:rPr>
        <w:t>th</w:t>
      </w:r>
      <w:r>
        <w:rPr>
          <w:sz w:val="18"/>
          <w:szCs w:val="18"/>
        </w:rPr>
        <w:t xml:space="preserve"> Evian Workshop, 2016.</w:t>
      </w:r>
    </w:p>
    <w:p w14:paraId="6D5E88D6" w14:textId="77777777" w:rsidR="0090385D" w:rsidRDefault="0090385D" w:rsidP="00944586">
      <w:pPr>
        <w:pStyle w:val="Reference"/>
        <w:rPr>
          <w:sz w:val="18"/>
          <w:szCs w:val="18"/>
        </w:rPr>
      </w:pPr>
    </w:p>
    <w:p w14:paraId="67B334F5" w14:textId="77777777" w:rsidR="00092C85" w:rsidRDefault="00092C85" w:rsidP="003766F2">
      <w:pPr>
        <w:pStyle w:val="Reference"/>
        <w:rPr>
          <w:sz w:val="18"/>
          <w:szCs w:val="18"/>
        </w:rPr>
      </w:pPr>
    </w:p>
    <w:p w14:paraId="6103992E" w14:textId="77777777" w:rsidR="008818CE" w:rsidRPr="00351D48" w:rsidRDefault="008818CE" w:rsidP="00063E96">
      <w:pPr>
        <w:pStyle w:val="Reference"/>
        <w:rPr>
          <w:sz w:val="18"/>
          <w:szCs w:val="18"/>
        </w:rPr>
      </w:pPr>
    </w:p>
    <w:p w14:paraId="6218756A" w14:textId="77777777" w:rsidR="008A751E" w:rsidRPr="00351D48" w:rsidRDefault="008A751E" w:rsidP="008A751E">
      <w:pPr>
        <w:pStyle w:val="Reference"/>
        <w:rPr>
          <w:sz w:val="18"/>
          <w:szCs w:val="18"/>
        </w:rPr>
      </w:pPr>
    </w:p>
    <w:p w14:paraId="5F5D5F70" w14:textId="77777777" w:rsidR="008A751E" w:rsidRPr="00351D48" w:rsidRDefault="008A751E" w:rsidP="008A751E">
      <w:pPr>
        <w:pStyle w:val="Reference"/>
        <w:rPr>
          <w:sz w:val="18"/>
          <w:szCs w:val="18"/>
        </w:rPr>
      </w:pPr>
    </w:p>
    <w:p w14:paraId="1C23362A" w14:textId="77777777" w:rsidR="008A751E" w:rsidRPr="00351D48" w:rsidRDefault="008A751E" w:rsidP="008A751E">
      <w:pPr>
        <w:pStyle w:val="Reference"/>
        <w:rPr>
          <w:sz w:val="18"/>
          <w:szCs w:val="18"/>
        </w:rPr>
      </w:pPr>
    </w:p>
    <w:p w14:paraId="0DE1A102" w14:textId="77777777" w:rsidR="00545822" w:rsidRPr="00826732" w:rsidRDefault="00545822" w:rsidP="00826732">
      <w:pPr>
        <w:pStyle w:val="BodyTextIndent"/>
        <w:rPr>
          <w:kern w:val="16"/>
        </w:rPr>
      </w:pPr>
    </w:p>
    <w:sectPr w:rsidR="00545822" w:rsidRPr="00826732" w:rsidSect="00074A20">
      <w:footnotePr>
        <w:pos w:val="beneathText"/>
        <w:numFmt w:val="chicago"/>
      </w:footnotePr>
      <w:endnotePr>
        <w:numFmt w:val="decimal"/>
      </w:endnotePr>
      <w:type w:val="continuous"/>
      <w:pgSz w:w="11907" w:h="16840" w:code="9"/>
      <w:pgMar w:top="2098" w:right="1134" w:bottom="1080" w:left="1134" w:header="720"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97727B" w14:textId="77777777" w:rsidR="002B429F" w:rsidRDefault="002B429F"/>
  </w:endnote>
  <w:endnote w:type="continuationSeparator" w:id="0">
    <w:p w14:paraId="50A706B6" w14:textId="77777777" w:rsidR="002B429F" w:rsidRDefault="002B4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28582" w14:textId="77777777" w:rsidR="002B429F" w:rsidRDefault="002B429F">
      <w:r>
        <w:separator/>
      </w:r>
    </w:p>
  </w:footnote>
  <w:footnote w:type="continuationSeparator" w:id="0">
    <w:p w14:paraId="5E770A1C" w14:textId="77777777" w:rsidR="002B429F" w:rsidRDefault="002B42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CEA7E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6A4BAB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BC7B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0A2297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04F82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72C11E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B0C45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EFA3D9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96894B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985E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A126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13328B"/>
    <w:multiLevelType w:val="hybridMultilevel"/>
    <w:tmpl w:val="8FD08C46"/>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08DE69AD"/>
    <w:multiLevelType w:val="hybridMultilevel"/>
    <w:tmpl w:val="AA40D03A"/>
    <w:lvl w:ilvl="0" w:tplc="04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0B04385C"/>
    <w:multiLevelType w:val="hybridMultilevel"/>
    <w:tmpl w:val="E24AD6AA"/>
    <w:lvl w:ilvl="0" w:tplc="0E44A1AE">
      <w:start w:val="1"/>
      <w:numFmt w:val="decimal"/>
      <w:lvlText w:val="%1."/>
      <w:lvlJc w:val="left"/>
      <w:pPr>
        <w:ind w:left="907" w:hanging="360"/>
      </w:pPr>
      <w:rPr>
        <w:rFonts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4" w15:restartNumberingAfterBreak="0">
    <w:nsid w:val="0B6A2637"/>
    <w:multiLevelType w:val="hybridMultilevel"/>
    <w:tmpl w:val="8F0A0F04"/>
    <w:lvl w:ilvl="0" w:tplc="753011DC">
      <w:start w:val="1"/>
      <w:numFmt w:val="decimal"/>
      <w:lvlText w:val="%1."/>
      <w:lvlJc w:val="left"/>
      <w:pPr>
        <w:tabs>
          <w:tab w:val="num" w:pos="720"/>
        </w:tabs>
        <w:ind w:left="720" w:hanging="360"/>
      </w:pPr>
      <w:rPr>
        <w:rFonts w:ascii="Times New Roman" w:eastAsia="Times New Roman" w:hAnsi="Times New Roman"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D966CAF"/>
    <w:multiLevelType w:val="hybridMultilevel"/>
    <w:tmpl w:val="7BE439A8"/>
    <w:lvl w:ilvl="0" w:tplc="0E44A1AE">
      <w:start w:val="1"/>
      <w:numFmt w:val="decimal"/>
      <w:lvlText w:val="%1."/>
      <w:lvlJc w:val="left"/>
      <w:pPr>
        <w:ind w:left="907" w:hanging="360"/>
      </w:pPr>
      <w:rPr>
        <w:rFonts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16" w15:restartNumberingAfterBreak="0">
    <w:nsid w:val="0FAB341B"/>
    <w:multiLevelType w:val="hybridMultilevel"/>
    <w:tmpl w:val="719871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1324CD7"/>
    <w:multiLevelType w:val="hybridMultilevel"/>
    <w:tmpl w:val="0C5A38BE"/>
    <w:lvl w:ilvl="0" w:tplc="6D8E591C">
      <w:start w:val="1"/>
      <w:numFmt w:val="bullet"/>
      <w:pStyle w:val="BulletedList"/>
      <w:lvlText w:val=""/>
      <w:lvlJc w:val="left"/>
      <w:pPr>
        <w:tabs>
          <w:tab w:val="num" w:pos="389"/>
        </w:tabs>
        <w:ind w:left="389" w:hanging="202"/>
      </w:pPr>
      <w:rPr>
        <w:rFonts w:ascii="Symbol" w:hAnsi="Symbol" w:hint="default"/>
      </w:rPr>
    </w:lvl>
    <w:lvl w:ilvl="1" w:tplc="04090003">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15033911"/>
    <w:multiLevelType w:val="hybridMultilevel"/>
    <w:tmpl w:val="0E26288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6666A8F"/>
    <w:multiLevelType w:val="hybridMultilevel"/>
    <w:tmpl w:val="6234C89C"/>
    <w:lvl w:ilvl="0" w:tplc="B9C42AEC">
      <w:start w:val="1"/>
      <w:numFmt w:val="bullet"/>
      <w:lvlText w:val="•"/>
      <w:lvlJc w:val="left"/>
      <w:pPr>
        <w:tabs>
          <w:tab w:val="num" w:pos="720"/>
        </w:tabs>
        <w:ind w:left="720" w:hanging="360"/>
      </w:pPr>
      <w:rPr>
        <w:rFonts w:ascii="Arial" w:hAnsi="Arial" w:hint="default"/>
      </w:rPr>
    </w:lvl>
    <w:lvl w:ilvl="1" w:tplc="E6B8AB40" w:tentative="1">
      <w:start w:val="1"/>
      <w:numFmt w:val="bullet"/>
      <w:lvlText w:val="•"/>
      <w:lvlJc w:val="left"/>
      <w:pPr>
        <w:tabs>
          <w:tab w:val="num" w:pos="1440"/>
        </w:tabs>
        <w:ind w:left="1440" w:hanging="360"/>
      </w:pPr>
      <w:rPr>
        <w:rFonts w:ascii="Arial" w:hAnsi="Arial" w:hint="default"/>
      </w:rPr>
    </w:lvl>
    <w:lvl w:ilvl="2" w:tplc="233E441E" w:tentative="1">
      <w:start w:val="1"/>
      <w:numFmt w:val="bullet"/>
      <w:lvlText w:val="•"/>
      <w:lvlJc w:val="left"/>
      <w:pPr>
        <w:tabs>
          <w:tab w:val="num" w:pos="2160"/>
        </w:tabs>
        <w:ind w:left="2160" w:hanging="360"/>
      </w:pPr>
      <w:rPr>
        <w:rFonts w:ascii="Arial" w:hAnsi="Arial" w:hint="default"/>
      </w:rPr>
    </w:lvl>
    <w:lvl w:ilvl="3" w:tplc="B4D851F4" w:tentative="1">
      <w:start w:val="1"/>
      <w:numFmt w:val="bullet"/>
      <w:lvlText w:val="•"/>
      <w:lvlJc w:val="left"/>
      <w:pPr>
        <w:tabs>
          <w:tab w:val="num" w:pos="2880"/>
        </w:tabs>
        <w:ind w:left="2880" w:hanging="360"/>
      </w:pPr>
      <w:rPr>
        <w:rFonts w:ascii="Arial" w:hAnsi="Arial" w:hint="default"/>
      </w:rPr>
    </w:lvl>
    <w:lvl w:ilvl="4" w:tplc="77FC751C" w:tentative="1">
      <w:start w:val="1"/>
      <w:numFmt w:val="bullet"/>
      <w:lvlText w:val="•"/>
      <w:lvlJc w:val="left"/>
      <w:pPr>
        <w:tabs>
          <w:tab w:val="num" w:pos="3600"/>
        </w:tabs>
        <w:ind w:left="3600" w:hanging="360"/>
      </w:pPr>
      <w:rPr>
        <w:rFonts w:ascii="Arial" w:hAnsi="Arial" w:hint="default"/>
      </w:rPr>
    </w:lvl>
    <w:lvl w:ilvl="5" w:tplc="16D0AE60" w:tentative="1">
      <w:start w:val="1"/>
      <w:numFmt w:val="bullet"/>
      <w:lvlText w:val="•"/>
      <w:lvlJc w:val="left"/>
      <w:pPr>
        <w:tabs>
          <w:tab w:val="num" w:pos="4320"/>
        </w:tabs>
        <w:ind w:left="4320" w:hanging="360"/>
      </w:pPr>
      <w:rPr>
        <w:rFonts w:ascii="Arial" w:hAnsi="Arial" w:hint="default"/>
      </w:rPr>
    </w:lvl>
    <w:lvl w:ilvl="6" w:tplc="09B488BC" w:tentative="1">
      <w:start w:val="1"/>
      <w:numFmt w:val="bullet"/>
      <w:lvlText w:val="•"/>
      <w:lvlJc w:val="left"/>
      <w:pPr>
        <w:tabs>
          <w:tab w:val="num" w:pos="5040"/>
        </w:tabs>
        <w:ind w:left="5040" w:hanging="360"/>
      </w:pPr>
      <w:rPr>
        <w:rFonts w:ascii="Arial" w:hAnsi="Arial" w:hint="default"/>
      </w:rPr>
    </w:lvl>
    <w:lvl w:ilvl="7" w:tplc="320414A4" w:tentative="1">
      <w:start w:val="1"/>
      <w:numFmt w:val="bullet"/>
      <w:lvlText w:val="•"/>
      <w:lvlJc w:val="left"/>
      <w:pPr>
        <w:tabs>
          <w:tab w:val="num" w:pos="5760"/>
        </w:tabs>
        <w:ind w:left="5760" w:hanging="360"/>
      </w:pPr>
      <w:rPr>
        <w:rFonts w:ascii="Arial" w:hAnsi="Arial" w:hint="default"/>
      </w:rPr>
    </w:lvl>
    <w:lvl w:ilvl="8" w:tplc="2AA6969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9B5648F"/>
    <w:multiLevelType w:val="hybridMultilevel"/>
    <w:tmpl w:val="1B80868E"/>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1EA3E2E"/>
    <w:multiLevelType w:val="multilevel"/>
    <w:tmpl w:val="40C67522"/>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25642DE4"/>
    <w:multiLevelType w:val="hybridMultilevel"/>
    <w:tmpl w:val="9B1286B4"/>
    <w:lvl w:ilvl="0" w:tplc="4A84337E">
      <w:start w:val="1"/>
      <w:numFmt w:val="bullet"/>
      <w:lvlText w:val="•"/>
      <w:lvlJc w:val="left"/>
      <w:pPr>
        <w:tabs>
          <w:tab w:val="num" w:pos="720"/>
        </w:tabs>
        <w:ind w:left="720" w:hanging="360"/>
      </w:pPr>
      <w:rPr>
        <w:rFonts w:ascii="Arial" w:hAnsi="Arial" w:hint="default"/>
      </w:rPr>
    </w:lvl>
    <w:lvl w:ilvl="1" w:tplc="F2F68AB8" w:tentative="1">
      <w:start w:val="1"/>
      <w:numFmt w:val="bullet"/>
      <w:lvlText w:val="•"/>
      <w:lvlJc w:val="left"/>
      <w:pPr>
        <w:tabs>
          <w:tab w:val="num" w:pos="1440"/>
        </w:tabs>
        <w:ind w:left="1440" w:hanging="360"/>
      </w:pPr>
      <w:rPr>
        <w:rFonts w:ascii="Arial" w:hAnsi="Arial" w:hint="default"/>
      </w:rPr>
    </w:lvl>
    <w:lvl w:ilvl="2" w:tplc="31BC57B4" w:tentative="1">
      <w:start w:val="1"/>
      <w:numFmt w:val="bullet"/>
      <w:lvlText w:val="•"/>
      <w:lvlJc w:val="left"/>
      <w:pPr>
        <w:tabs>
          <w:tab w:val="num" w:pos="2160"/>
        </w:tabs>
        <w:ind w:left="2160" w:hanging="360"/>
      </w:pPr>
      <w:rPr>
        <w:rFonts w:ascii="Arial" w:hAnsi="Arial" w:hint="default"/>
      </w:rPr>
    </w:lvl>
    <w:lvl w:ilvl="3" w:tplc="EDFA14EC" w:tentative="1">
      <w:start w:val="1"/>
      <w:numFmt w:val="bullet"/>
      <w:lvlText w:val="•"/>
      <w:lvlJc w:val="left"/>
      <w:pPr>
        <w:tabs>
          <w:tab w:val="num" w:pos="2880"/>
        </w:tabs>
        <w:ind w:left="2880" w:hanging="360"/>
      </w:pPr>
      <w:rPr>
        <w:rFonts w:ascii="Arial" w:hAnsi="Arial" w:hint="default"/>
      </w:rPr>
    </w:lvl>
    <w:lvl w:ilvl="4" w:tplc="E0A6EB62" w:tentative="1">
      <w:start w:val="1"/>
      <w:numFmt w:val="bullet"/>
      <w:lvlText w:val="•"/>
      <w:lvlJc w:val="left"/>
      <w:pPr>
        <w:tabs>
          <w:tab w:val="num" w:pos="3600"/>
        </w:tabs>
        <w:ind w:left="3600" w:hanging="360"/>
      </w:pPr>
      <w:rPr>
        <w:rFonts w:ascii="Arial" w:hAnsi="Arial" w:hint="default"/>
      </w:rPr>
    </w:lvl>
    <w:lvl w:ilvl="5" w:tplc="BC4436D2" w:tentative="1">
      <w:start w:val="1"/>
      <w:numFmt w:val="bullet"/>
      <w:lvlText w:val="•"/>
      <w:lvlJc w:val="left"/>
      <w:pPr>
        <w:tabs>
          <w:tab w:val="num" w:pos="4320"/>
        </w:tabs>
        <w:ind w:left="4320" w:hanging="360"/>
      </w:pPr>
      <w:rPr>
        <w:rFonts w:ascii="Arial" w:hAnsi="Arial" w:hint="default"/>
      </w:rPr>
    </w:lvl>
    <w:lvl w:ilvl="6" w:tplc="99F28208" w:tentative="1">
      <w:start w:val="1"/>
      <w:numFmt w:val="bullet"/>
      <w:lvlText w:val="•"/>
      <w:lvlJc w:val="left"/>
      <w:pPr>
        <w:tabs>
          <w:tab w:val="num" w:pos="5040"/>
        </w:tabs>
        <w:ind w:left="5040" w:hanging="360"/>
      </w:pPr>
      <w:rPr>
        <w:rFonts w:ascii="Arial" w:hAnsi="Arial" w:hint="default"/>
      </w:rPr>
    </w:lvl>
    <w:lvl w:ilvl="7" w:tplc="FEACC4D2" w:tentative="1">
      <w:start w:val="1"/>
      <w:numFmt w:val="bullet"/>
      <w:lvlText w:val="•"/>
      <w:lvlJc w:val="left"/>
      <w:pPr>
        <w:tabs>
          <w:tab w:val="num" w:pos="5760"/>
        </w:tabs>
        <w:ind w:left="5760" w:hanging="360"/>
      </w:pPr>
      <w:rPr>
        <w:rFonts w:ascii="Arial" w:hAnsi="Arial" w:hint="default"/>
      </w:rPr>
    </w:lvl>
    <w:lvl w:ilvl="8" w:tplc="5204D3D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7B21DBA"/>
    <w:multiLevelType w:val="hybridMultilevel"/>
    <w:tmpl w:val="5E88FDE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2A10D14"/>
    <w:multiLevelType w:val="hybridMultilevel"/>
    <w:tmpl w:val="4FC6E718"/>
    <w:lvl w:ilvl="0" w:tplc="7794E1A6">
      <w:start w:val="1"/>
      <w:numFmt w:val="decimal"/>
      <w:lvlText w:val="S%1."/>
      <w:lvlJc w:val="left"/>
      <w:pPr>
        <w:ind w:left="907" w:hanging="360"/>
      </w:pPr>
      <w:rPr>
        <w:rFonts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5" w15:restartNumberingAfterBreak="0">
    <w:nsid w:val="388F0B89"/>
    <w:multiLevelType w:val="hybridMultilevel"/>
    <w:tmpl w:val="73A29DB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6E91C82"/>
    <w:multiLevelType w:val="hybridMultilevel"/>
    <w:tmpl w:val="ADCE4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37830"/>
    <w:multiLevelType w:val="hybridMultilevel"/>
    <w:tmpl w:val="52342FE0"/>
    <w:lvl w:ilvl="0" w:tplc="1C8C9E16">
      <w:start w:val="1"/>
      <w:numFmt w:val="bullet"/>
      <w:lvlText w:val="•"/>
      <w:lvlJc w:val="left"/>
      <w:pPr>
        <w:tabs>
          <w:tab w:val="num" w:pos="720"/>
        </w:tabs>
        <w:ind w:left="720" w:hanging="360"/>
      </w:pPr>
      <w:rPr>
        <w:rFonts w:ascii="Arial" w:hAnsi="Arial" w:hint="default"/>
      </w:rPr>
    </w:lvl>
    <w:lvl w:ilvl="1" w:tplc="5D7E4684">
      <w:start w:val="1"/>
      <w:numFmt w:val="bullet"/>
      <w:lvlText w:val="•"/>
      <w:lvlJc w:val="left"/>
      <w:pPr>
        <w:tabs>
          <w:tab w:val="num" w:pos="1440"/>
        </w:tabs>
        <w:ind w:left="1440" w:hanging="360"/>
      </w:pPr>
      <w:rPr>
        <w:rFonts w:ascii="Arial" w:hAnsi="Arial" w:hint="default"/>
      </w:rPr>
    </w:lvl>
    <w:lvl w:ilvl="2" w:tplc="9F6ED592" w:tentative="1">
      <w:start w:val="1"/>
      <w:numFmt w:val="bullet"/>
      <w:lvlText w:val="•"/>
      <w:lvlJc w:val="left"/>
      <w:pPr>
        <w:tabs>
          <w:tab w:val="num" w:pos="2160"/>
        </w:tabs>
        <w:ind w:left="2160" w:hanging="360"/>
      </w:pPr>
      <w:rPr>
        <w:rFonts w:ascii="Arial" w:hAnsi="Arial" w:hint="default"/>
      </w:rPr>
    </w:lvl>
    <w:lvl w:ilvl="3" w:tplc="BED6C4EE" w:tentative="1">
      <w:start w:val="1"/>
      <w:numFmt w:val="bullet"/>
      <w:lvlText w:val="•"/>
      <w:lvlJc w:val="left"/>
      <w:pPr>
        <w:tabs>
          <w:tab w:val="num" w:pos="2880"/>
        </w:tabs>
        <w:ind w:left="2880" w:hanging="360"/>
      </w:pPr>
      <w:rPr>
        <w:rFonts w:ascii="Arial" w:hAnsi="Arial" w:hint="default"/>
      </w:rPr>
    </w:lvl>
    <w:lvl w:ilvl="4" w:tplc="5032E4D8" w:tentative="1">
      <w:start w:val="1"/>
      <w:numFmt w:val="bullet"/>
      <w:lvlText w:val="•"/>
      <w:lvlJc w:val="left"/>
      <w:pPr>
        <w:tabs>
          <w:tab w:val="num" w:pos="3600"/>
        </w:tabs>
        <w:ind w:left="3600" w:hanging="360"/>
      </w:pPr>
      <w:rPr>
        <w:rFonts w:ascii="Arial" w:hAnsi="Arial" w:hint="default"/>
      </w:rPr>
    </w:lvl>
    <w:lvl w:ilvl="5" w:tplc="DA50AA7C" w:tentative="1">
      <w:start w:val="1"/>
      <w:numFmt w:val="bullet"/>
      <w:lvlText w:val="•"/>
      <w:lvlJc w:val="left"/>
      <w:pPr>
        <w:tabs>
          <w:tab w:val="num" w:pos="4320"/>
        </w:tabs>
        <w:ind w:left="4320" w:hanging="360"/>
      </w:pPr>
      <w:rPr>
        <w:rFonts w:ascii="Arial" w:hAnsi="Arial" w:hint="default"/>
      </w:rPr>
    </w:lvl>
    <w:lvl w:ilvl="6" w:tplc="E654E892" w:tentative="1">
      <w:start w:val="1"/>
      <w:numFmt w:val="bullet"/>
      <w:lvlText w:val="•"/>
      <w:lvlJc w:val="left"/>
      <w:pPr>
        <w:tabs>
          <w:tab w:val="num" w:pos="5040"/>
        </w:tabs>
        <w:ind w:left="5040" w:hanging="360"/>
      </w:pPr>
      <w:rPr>
        <w:rFonts w:ascii="Arial" w:hAnsi="Arial" w:hint="default"/>
      </w:rPr>
    </w:lvl>
    <w:lvl w:ilvl="7" w:tplc="E03E53A4" w:tentative="1">
      <w:start w:val="1"/>
      <w:numFmt w:val="bullet"/>
      <w:lvlText w:val="•"/>
      <w:lvlJc w:val="left"/>
      <w:pPr>
        <w:tabs>
          <w:tab w:val="num" w:pos="5760"/>
        </w:tabs>
        <w:ind w:left="5760" w:hanging="360"/>
      </w:pPr>
      <w:rPr>
        <w:rFonts w:ascii="Arial" w:hAnsi="Arial" w:hint="default"/>
      </w:rPr>
    </w:lvl>
    <w:lvl w:ilvl="8" w:tplc="39CEE5F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06E56CE"/>
    <w:multiLevelType w:val="hybridMultilevel"/>
    <w:tmpl w:val="9898734A"/>
    <w:lvl w:ilvl="0" w:tplc="70E0BD02">
      <w:start w:val="1"/>
      <w:numFmt w:val="decimal"/>
      <w:lvlText w:val="R%1."/>
      <w:lvlJc w:val="left"/>
      <w:pPr>
        <w:ind w:left="907" w:hanging="360"/>
      </w:pPr>
      <w:rPr>
        <w:rFonts w:hint="default"/>
      </w:rPr>
    </w:lvl>
    <w:lvl w:ilvl="1" w:tplc="08090003" w:tentative="1">
      <w:start w:val="1"/>
      <w:numFmt w:val="bullet"/>
      <w:lvlText w:val="o"/>
      <w:lvlJc w:val="left"/>
      <w:pPr>
        <w:ind w:left="1627" w:hanging="360"/>
      </w:pPr>
      <w:rPr>
        <w:rFonts w:ascii="Courier New" w:hAnsi="Courier New" w:cs="Courier New" w:hint="default"/>
      </w:rPr>
    </w:lvl>
    <w:lvl w:ilvl="2" w:tplc="08090005" w:tentative="1">
      <w:start w:val="1"/>
      <w:numFmt w:val="bullet"/>
      <w:lvlText w:val=""/>
      <w:lvlJc w:val="left"/>
      <w:pPr>
        <w:ind w:left="2347" w:hanging="360"/>
      </w:pPr>
      <w:rPr>
        <w:rFonts w:ascii="Wingdings" w:hAnsi="Wingdings" w:hint="default"/>
      </w:rPr>
    </w:lvl>
    <w:lvl w:ilvl="3" w:tplc="08090001" w:tentative="1">
      <w:start w:val="1"/>
      <w:numFmt w:val="bullet"/>
      <w:lvlText w:val=""/>
      <w:lvlJc w:val="left"/>
      <w:pPr>
        <w:ind w:left="3067" w:hanging="360"/>
      </w:pPr>
      <w:rPr>
        <w:rFonts w:ascii="Symbol" w:hAnsi="Symbol" w:hint="default"/>
      </w:rPr>
    </w:lvl>
    <w:lvl w:ilvl="4" w:tplc="08090003" w:tentative="1">
      <w:start w:val="1"/>
      <w:numFmt w:val="bullet"/>
      <w:lvlText w:val="o"/>
      <w:lvlJc w:val="left"/>
      <w:pPr>
        <w:ind w:left="3787" w:hanging="360"/>
      </w:pPr>
      <w:rPr>
        <w:rFonts w:ascii="Courier New" w:hAnsi="Courier New" w:cs="Courier New" w:hint="default"/>
      </w:rPr>
    </w:lvl>
    <w:lvl w:ilvl="5" w:tplc="08090005" w:tentative="1">
      <w:start w:val="1"/>
      <w:numFmt w:val="bullet"/>
      <w:lvlText w:val=""/>
      <w:lvlJc w:val="left"/>
      <w:pPr>
        <w:ind w:left="4507" w:hanging="360"/>
      </w:pPr>
      <w:rPr>
        <w:rFonts w:ascii="Wingdings" w:hAnsi="Wingdings" w:hint="default"/>
      </w:rPr>
    </w:lvl>
    <w:lvl w:ilvl="6" w:tplc="08090001" w:tentative="1">
      <w:start w:val="1"/>
      <w:numFmt w:val="bullet"/>
      <w:lvlText w:val=""/>
      <w:lvlJc w:val="left"/>
      <w:pPr>
        <w:ind w:left="5227" w:hanging="360"/>
      </w:pPr>
      <w:rPr>
        <w:rFonts w:ascii="Symbol" w:hAnsi="Symbol" w:hint="default"/>
      </w:rPr>
    </w:lvl>
    <w:lvl w:ilvl="7" w:tplc="08090003" w:tentative="1">
      <w:start w:val="1"/>
      <w:numFmt w:val="bullet"/>
      <w:lvlText w:val="o"/>
      <w:lvlJc w:val="left"/>
      <w:pPr>
        <w:ind w:left="5947" w:hanging="360"/>
      </w:pPr>
      <w:rPr>
        <w:rFonts w:ascii="Courier New" w:hAnsi="Courier New" w:cs="Courier New" w:hint="default"/>
      </w:rPr>
    </w:lvl>
    <w:lvl w:ilvl="8" w:tplc="08090005" w:tentative="1">
      <w:start w:val="1"/>
      <w:numFmt w:val="bullet"/>
      <w:lvlText w:val=""/>
      <w:lvlJc w:val="left"/>
      <w:pPr>
        <w:ind w:left="6667" w:hanging="360"/>
      </w:pPr>
      <w:rPr>
        <w:rFonts w:ascii="Wingdings" w:hAnsi="Wingdings" w:hint="default"/>
      </w:rPr>
    </w:lvl>
  </w:abstractNum>
  <w:abstractNum w:abstractNumId="29" w15:restartNumberingAfterBreak="0">
    <w:nsid w:val="5C1427A8"/>
    <w:multiLevelType w:val="hybridMultilevel"/>
    <w:tmpl w:val="205E0C46"/>
    <w:lvl w:ilvl="0" w:tplc="4DE2586A">
      <w:start w:val="1"/>
      <w:numFmt w:val="decimal"/>
      <w:lvlText w:val="%1"/>
      <w:lvlJc w:val="left"/>
      <w:pPr>
        <w:tabs>
          <w:tab w:val="num" w:pos="360"/>
        </w:tabs>
        <w:ind w:left="360" w:hanging="360"/>
      </w:pPr>
      <w:rPr>
        <w:rFonts w:ascii="Times" w:hAnsi="Times" w:hint="default"/>
        <w:b/>
        <w:i w:val="0"/>
        <w:sz w:val="24"/>
      </w:rPr>
    </w:lvl>
    <w:lvl w:ilvl="1" w:tplc="3724E022">
      <w:numFmt w:val="none"/>
      <w:lvlText w:val=""/>
      <w:lvlJc w:val="left"/>
      <w:pPr>
        <w:tabs>
          <w:tab w:val="num" w:pos="360"/>
        </w:tabs>
      </w:pPr>
    </w:lvl>
    <w:lvl w:ilvl="2" w:tplc="3BA20238">
      <w:numFmt w:val="none"/>
      <w:lvlText w:val=""/>
      <w:lvlJc w:val="left"/>
      <w:pPr>
        <w:tabs>
          <w:tab w:val="num" w:pos="360"/>
        </w:tabs>
      </w:pPr>
    </w:lvl>
    <w:lvl w:ilvl="3" w:tplc="998E4A0A">
      <w:numFmt w:val="none"/>
      <w:lvlText w:val=""/>
      <w:lvlJc w:val="left"/>
      <w:pPr>
        <w:tabs>
          <w:tab w:val="num" w:pos="360"/>
        </w:tabs>
      </w:pPr>
    </w:lvl>
    <w:lvl w:ilvl="4" w:tplc="C4D83908">
      <w:numFmt w:val="none"/>
      <w:lvlText w:val=""/>
      <w:lvlJc w:val="left"/>
      <w:pPr>
        <w:tabs>
          <w:tab w:val="num" w:pos="360"/>
        </w:tabs>
      </w:pPr>
    </w:lvl>
    <w:lvl w:ilvl="5" w:tplc="78FE03DA">
      <w:numFmt w:val="none"/>
      <w:lvlText w:val=""/>
      <w:lvlJc w:val="left"/>
      <w:pPr>
        <w:tabs>
          <w:tab w:val="num" w:pos="360"/>
        </w:tabs>
      </w:pPr>
    </w:lvl>
    <w:lvl w:ilvl="6" w:tplc="24AAE1CA">
      <w:numFmt w:val="none"/>
      <w:lvlText w:val=""/>
      <w:lvlJc w:val="left"/>
      <w:pPr>
        <w:tabs>
          <w:tab w:val="num" w:pos="360"/>
        </w:tabs>
      </w:pPr>
    </w:lvl>
    <w:lvl w:ilvl="7" w:tplc="AC7C8E80">
      <w:numFmt w:val="none"/>
      <w:lvlText w:val=""/>
      <w:lvlJc w:val="left"/>
      <w:pPr>
        <w:tabs>
          <w:tab w:val="num" w:pos="360"/>
        </w:tabs>
      </w:pPr>
    </w:lvl>
    <w:lvl w:ilvl="8" w:tplc="5EA8CA18">
      <w:numFmt w:val="none"/>
      <w:lvlText w:val=""/>
      <w:lvlJc w:val="left"/>
      <w:pPr>
        <w:tabs>
          <w:tab w:val="num" w:pos="360"/>
        </w:tabs>
      </w:pPr>
    </w:lvl>
  </w:abstractNum>
  <w:abstractNum w:abstractNumId="30" w15:restartNumberingAfterBreak="0">
    <w:nsid w:val="5E6E7F2B"/>
    <w:multiLevelType w:val="hybridMultilevel"/>
    <w:tmpl w:val="FB523308"/>
    <w:lvl w:ilvl="0" w:tplc="0E44A1AE">
      <w:start w:val="1"/>
      <w:numFmt w:val="decimal"/>
      <w:lvlText w:val="%1."/>
      <w:lvlJc w:val="left"/>
      <w:pPr>
        <w:ind w:left="547" w:hanging="360"/>
      </w:pPr>
      <w:rPr>
        <w:rFonts w:hint="default"/>
      </w:rPr>
    </w:lvl>
    <w:lvl w:ilvl="1" w:tplc="08090019" w:tentative="1">
      <w:start w:val="1"/>
      <w:numFmt w:val="lowerLetter"/>
      <w:lvlText w:val="%2."/>
      <w:lvlJc w:val="left"/>
      <w:pPr>
        <w:ind w:left="1267" w:hanging="360"/>
      </w:pPr>
    </w:lvl>
    <w:lvl w:ilvl="2" w:tplc="0809001B" w:tentative="1">
      <w:start w:val="1"/>
      <w:numFmt w:val="lowerRoman"/>
      <w:lvlText w:val="%3."/>
      <w:lvlJc w:val="right"/>
      <w:pPr>
        <w:ind w:left="1987" w:hanging="180"/>
      </w:pPr>
    </w:lvl>
    <w:lvl w:ilvl="3" w:tplc="0809000F" w:tentative="1">
      <w:start w:val="1"/>
      <w:numFmt w:val="decimal"/>
      <w:lvlText w:val="%4."/>
      <w:lvlJc w:val="left"/>
      <w:pPr>
        <w:ind w:left="2707" w:hanging="360"/>
      </w:pPr>
    </w:lvl>
    <w:lvl w:ilvl="4" w:tplc="08090019" w:tentative="1">
      <w:start w:val="1"/>
      <w:numFmt w:val="lowerLetter"/>
      <w:lvlText w:val="%5."/>
      <w:lvlJc w:val="left"/>
      <w:pPr>
        <w:ind w:left="3427" w:hanging="360"/>
      </w:pPr>
    </w:lvl>
    <w:lvl w:ilvl="5" w:tplc="0809001B" w:tentative="1">
      <w:start w:val="1"/>
      <w:numFmt w:val="lowerRoman"/>
      <w:lvlText w:val="%6."/>
      <w:lvlJc w:val="right"/>
      <w:pPr>
        <w:ind w:left="4147" w:hanging="180"/>
      </w:pPr>
    </w:lvl>
    <w:lvl w:ilvl="6" w:tplc="0809000F" w:tentative="1">
      <w:start w:val="1"/>
      <w:numFmt w:val="decimal"/>
      <w:lvlText w:val="%7."/>
      <w:lvlJc w:val="left"/>
      <w:pPr>
        <w:ind w:left="4867" w:hanging="360"/>
      </w:pPr>
    </w:lvl>
    <w:lvl w:ilvl="7" w:tplc="08090019" w:tentative="1">
      <w:start w:val="1"/>
      <w:numFmt w:val="lowerLetter"/>
      <w:lvlText w:val="%8."/>
      <w:lvlJc w:val="left"/>
      <w:pPr>
        <w:ind w:left="5587" w:hanging="360"/>
      </w:pPr>
    </w:lvl>
    <w:lvl w:ilvl="8" w:tplc="0809001B" w:tentative="1">
      <w:start w:val="1"/>
      <w:numFmt w:val="lowerRoman"/>
      <w:lvlText w:val="%9."/>
      <w:lvlJc w:val="right"/>
      <w:pPr>
        <w:ind w:left="6307" w:hanging="180"/>
      </w:pPr>
    </w:lvl>
  </w:abstractNum>
  <w:abstractNum w:abstractNumId="31" w15:restartNumberingAfterBreak="0">
    <w:nsid w:val="65AE08BB"/>
    <w:multiLevelType w:val="hybridMultilevel"/>
    <w:tmpl w:val="46F235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7016AE4"/>
    <w:multiLevelType w:val="hybridMultilevel"/>
    <w:tmpl w:val="F82663BE"/>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3" w15:restartNumberingAfterBreak="0">
    <w:nsid w:val="7A067F69"/>
    <w:multiLevelType w:val="hybridMultilevel"/>
    <w:tmpl w:val="655CEF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DE0F63"/>
    <w:multiLevelType w:val="hybridMultilevel"/>
    <w:tmpl w:val="0D70D994"/>
    <w:lvl w:ilvl="0" w:tplc="0809000F">
      <w:start w:val="1"/>
      <w:numFmt w:val="decimal"/>
      <w:lvlText w:val="%1."/>
      <w:lvlJc w:val="left"/>
      <w:pPr>
        <w:ind w:left="907" w:hanging="360"/>
      </w:pPr>
    </w:lvl>
    <w:lvl w:ilvl="1" w:tplc="08090019" w:tentative="1">
      <w:start w:val="1"/>
      <w:numFmt w:val="lowerLetter"/>
      <w:lvlText w:val="%2."/>
      <w:lvlJc w:val="left"/>
      <w:pPr>
        <w:ind w:left="1627" w:hanging="360"/>
      </w:pPr>
    </w:lvl>
    <w:lvl w:ilvl="2" w:tplc="0809001B" w:tentative="1">
      <w:start w:val="1"/>
      <w:numFmt w:val="lowerRoman"/>
      <w:lvlText w:val="%3."/>
      <w:lvlJc w:val="right"/>
      <w:pPr>
        <w:ind w:left="2347" w:hanging="180"/>
      </w:pPr>
    </w:lvl>
    <w:lvl w:ilvl="3" w:tplc="0809000F" w:tentative="1">
      <w:start w:val="1"/>
      <w:numFmt w:val="decimal"/>
      <w:lvlText w:val="%4."/>
      <w:lvlJc w:val="left"/>
      <w:pPr>
        <w:ind w:left="3067" w:hanging="360"/>
      </w:pPr>
    </w:lvl>
    <w:lvl w:ilvl="4" w:tplc="08090019" w:tentative="1">
      <w:start w:val="1"/>
      <w:numFmt w:val="lowerLetter"/>
      <w:lvlText w:val="%5."/>
      <w:lvlJc w:val="left"/>
      <w:pPr>
        <w:ind w:left="3787" w:hanging="360"/>
      </w:pPr>
    </w:lvl>
    <w:lvl w:ilvl="5" w:tplc="0809001B" w:tentative="1">
      <w:start w:val="1"/>
      <w:numFmt w:val="lowerRoman"/>
      <w:lvlText w:val="%6."/>
      <w:lvlJc w:val="right"/>
      <w:pPr>
        <w:ind w:left="4507" w:hanging="180"/>
      </w:pPr>
    </w:lvl>
    <w:lvl w:ilvl="6" w:tplc="0809000F" w:tentative="1">
      <w:start w:val="1"/>
      <w:numFmt w:val="decimal"/>
      <w:lvlText w:val="%7."/>
      <w:lvlJc w:val="left"/>
      <w:pPr>
        <w:ind w:left="5227" w:hanging="360"/>
      </w:pPr>
    </w:lvl>
    <w:lvl w:ilvl="7" w:tplc="08090019" w:tentative="1">
      <w:start w:val="1"/>
      <w:numFmt w:val="lowerLetter"/>
      <w:lvlText w:val="%8."/>
      <w:lvlJc w:val="left"/>
      <w:pPr>
        <w:ind w:left="5947" w:hanging="360"/>
      </w:pPr>
    </w:lvl>
    <w:lvl w:ilvl="8" w:tplc="0809001B" w:tentative="1">
      <w:start w:val="1"/>
      <w:numFmt w:val="lowerRoman"/>
      <w:lvlText w:val="%9."/>
      <w:lvlJc w:val="right"/>
      <w:pPr>
        <w:ind w:left="6667" w:hanging="180"/>
      </w:pPr>
    </w:lvl>
  </w:abstractNum>
  <w:num w:numId="1">
    <w:abstractNumId w:val="29"/>
  </w:num>
  <w:num w:numId="2">
    <w:abstractNumId w:val="17"/>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32"/>
  </w:num>
  <w:num w:numId="16">
    <w:abstractNumId w:val="25"/>
  </w:num>
  <w:num w:numId="17">
    <w:abstractNumId w:val="18"/>
  </w:num>
  <w:num w:numId="18">
    <w:abstractNumId w:val="23"/>
  </w:num>
  <w:num w:numId="19">
    <w:abstractNumId w:val="11"/>
  </w:num>
  <w:num w:numId="20">
    <w:abstractNumId w:val="12"/>
  </w:num>
  <w:num w:numId="21">
    <w:abstractNumId w:val="31"/>
  </w:num>
  <w:num w:numId="22">
    <w:abstractNumId w:val="16"/>
  </w:num>
  <w:num w:numId="23">
    <w:abstractNumId w:val="14"/>
  </w:num>
  <w:num w:numId="24">
    <w:abstractNumId w:val="26"/>
  </w:num>
  <w:num w:numId="25">
    <w:abstractNumId w:val="33"/>
  </w:num>
  <w:num w:numId="26">
    <w:abstractNumId w:val="30"/>
  </w:num>
  <w:num w:numId="27">
    <w:abstractNumId w:val="24"/>
  </w:num>
  <w:num w:numId="28">
    <w:abstractNumId w:val="28"/>
  </w:num>
  <w:num w:numId="29">
    <w:abstractNumId w:val="15"/>
  </w:num>
  <w:num w:numId="30">
    <w:abstractNumId w:val="13"/>
  </w:num>
  <w:num w:numId="31">
    <w:abstractNumId w:val="20"/>
  </w:num>
  <w:num w:numId="32">
    <w:abstractNumId w:val="34"/>
  </w:num>
  <w:num w:numId="33">
    <w:abstractNumId w:val="22"/>
  </w:num>
  <w:num w:numId="34">
    <w:abstractNumId w:val="19"/>
  </w:num>
  <w:num w:numId="3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29"/>
  <w:drawingGridVerticalSpacing w:val="187"/>
  <w:displayHorizontalDrawingGridEvery w:val="2"/>
  <w:displayVerticalDrawingGridEvery w:val="2"/>
  <w:noPunctuationKerning/>
  <w:characterSpacingControl w:val="doNotCompress"/>
  <w:footnotePr>
    <w:pos w:val="beneathText"/>
    <w:numFmt w:val="chicago"/>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E1F"/>
    <w:rsid w:val="000055FD"/>
    <w:rsid w:val="00006526"/>
    <w:rsid w:val="00011E5C"/>
    <w:rsid w:val="00016FBF"/>
    <w:rsid w:val="00032AC1"/>
    <w:rsid w:val="00044F1E"/>
    <w:rsid w:val="000455E2"/>
    <w:rsid w:val="00047768"/>
    <w:rsid w:val="00052CB4"/>
    <w:rsid w:val="00057784"/>
    <w:rsid w:val="00063E96"/>
    <w:rsid w:val="00064F39"/>
    <w:rsid w:val="00067B33"/>
    <w:rsid w:val="0007203F"/>
    <w:rsid w:val="00074A20"/>
    <w:rsid w:val="00076528"/>
    <w:rsid w:val="00082804"/>
    <w:rsid w:val="00092C85"/>
    <w:rsid w:val="000934E7"/>
    <w:rsid w:val="000A1FC9"/>
    <w:rsid w:val="000A2A9A"/>
    <w:rsid w:val="000C1F79"/>
    <w:rsid w:val="000D5EEA"/>
    <w:rsid w:val="000E1BEA"/>
    <w:rsid w:val="000E28FD"/>
    <w:rsid w:val="000E57D6"/>
    <w:rsid w:val="000F7986"/>
    <w:rsid w:val="001015DA"/>
    <w:rsid w:val="0013748E"/>
    <w:rsid w:val="00144C35"/>
    <w:rsid w:val="00151615"/>
    <w:rsid w:val="00155496"/>
    <w:rsid w:val="00165665"/>
    <w:rsid w:val="001A06CD"/>
    <w:rsid w:val="001A3E3E"/>
    <w:rsid w:val="001A5DB4"/>
    <w:rsid w:val="001B2ADB"/>
    <w:rsid w:val="001C0448"/>
    <w:rsid w:val="001C36D4"/>
    <w:rsid w:val="001C42BA"/>
    <w:rsid w:val="001C7017"/>
    <w:rsid w:val="001D43A0"/>
    <w:rsid w:val="001D4C40"/>
    <w:rsid w:val="001D6284"/>
    <w:rsid w:val="001E1B3D"/>
    <w:rsid w:val="001F1979"/>
    <w:rsid w:val="002159C1"/>
    <w:rsid w:val="002173AE"/>
    <w:rsid w:val="00220D7A"/>
    <w:rsid w:val="002247F1"/>
    <w:rsid w:val="0024170C"/>
    <w:rsid w:val="00250F3B"/>
    <w:rsid w:val="00252E73"/>
    <w:rsid w:val="00264CF8"/>
    <w:rsid w:val="00286A30"/>
    <w:rsid w:val="002902FB"/>
    <w:rsid w:val="00296364"/>
    <w:rsid w:val="002A40EE"/>
    <w:rsid w:val="002B429F"/>
    <w:rsid w:val="002C0449"/>
    <w:rsid w:val="002C13AB"/>
    <w:rsid w:val="002C13DF"/>
    <w:rsid w:val="002C6318"/>
    <w:rsid w:val="002D458C"/>
    <w:rsid w:val="002D518F"/>
    <w:rsid w:val="002D68EC"/>
    <w:rsid w:val="002D6E8B"/>
    <w:rsid w:val="002E6D44"/>
    <w:rsid w:val="003003BA"/>
    <w:rsid w:val="00303954"/>
    <w:rsid w:val="003134DE"/>
    <w:rsid w:val="003412C6"/>
    <w:rsid w:val="003679CF"/>
    <w:rsid w:val="003766F2"/>
    <w:rsid w:val="0037743E"/>
    <w:rsid w:val="00394F4B"/>
    <w:rsid w:val="003B2243"/>
    <w:rsid w:val="003C2B35"/>
    <w:rsid w:val="003C52DD"/>
    <w:rsid w:val="003D4C64"/>
    <w:rsid w:val="003D578D"/>
    <w:rsid w:val="003E05AE"/>
    <w:rsid w:val="003E1340"/>
    <w:rsid w:val="003E6952"/>
    <w:rsid w:val="003E6A42"/>
    <w:rsid w:val="003F1287"/>
    <w:rsid w:val="003F28DB"/>
    <w:rsid w:val="0042179D"/>
    <w:rsid w:val="00425DB3"/>
    <w:rsid w:val="00426B6F"/>
    <w:rsid w:val="00437DF8"/>
    <w:rsid w:val="00441A6D"/>
    <w:rsid w:val="00453A3C"/>
    <w:rsid w:val="00453B0E"/>
    <w:rsid w:val="00475692"/>
    <w:rsid w:val="00483B7C"/>
    <w:rsid w:val="00490A14"/>
    <w:rsid w:val="004A1546"/>
    <w:rsid w:val="004A7A68"/>
    <w:rsid w:val="004B0754"/>
    <w:rsid w:val="004C25BD"/>
    <w:rsid w:val="004E2970"/>
    <w:rsid w:val="004F2A1D"/>
    <w:rsid w:val="00502378"/>
    <w:rsid w:val="005335B3"/>
    <w:rsid w:val="005456CB"/>
    <w:rsid w:val="00545822"/>
    <w:rsid w:val="005501AA"/>
    <w:rsid w:val="0055240D"/>
    <w:rsid w:val="0055496A"/>
    <w:rsid w:val="00564D52"/>
    <w:rsid w:val="005779BE"/>
    <w:rsid w:val="0058135D"/>
    <w:rsid w:val="005817DB"/>
    <w:rsid w:val="005909C8"/>
    <w:rsid w:val="005A3831"/>
    <w:rsid w:val="005A5D1E"/>
    <w:rsid w:val="005B1652"/>
    <w:rsid w:val="005B1725"/>
    <w:rsid w:val="005B3572"/>
    <w:rsid w:val="005C4F00"/>
    <w:rsid w:val="005D04B8"/>
    <w:rsid w:val="005D125E"/>
    <w:rsid w:val="005D2E3B"/>
    <w:rsid w:val="005E24F7"/>
    <w:rsid w:val="005E48CA"/>
    <w:rsid w:val="005F6709"/>
    <w:rsid w:val="00611181"/>
    <w:rsid w:val="0062381F"/>
    <w:rsid w:val="006560C3"/>
    <w:rsid w:val="00656E46"/>
    <w:rsid w:val="006800B7"/>
    <w:rsid w:val="006801BC"/>
    <w:rsid w:val="006845B5"/>
    <w:rsid w:val="00691578"/>
    <w:rsid w:val="00697049"/>
    <w:rsid w:val="006971B1"/>
    <w:rsid w:val="006B4648"/>
    <w:rsid w:val="006C30FD"/>
    <w:rsid w:val="006C58CD"/>
    <w:rsid w:val="006D19E8"/>
    <w:rsid w:val="006D7A49"/>
    <w:rsid w:val="006F4E9B"/>
    <w:rsid w:val="006F69A8"/>
    <w:rsid w:val="00703F75"/>
    <w:rsid w:val="00705910"/>
    <w:rsid w:val="00705B6E"/>
    <w:rsid w:val="00717DF0"/>
    <w:rsid w:val="00726289"/>
    <w:rsid w:val="00753746"/>
    <w:rsid w:val="0075383C"/>
    <w:rsid w:val="00761218"/>
    <w:rsid w:val="007628B3"/>
    <w:rsid w:val="007711A4"/>
    <w:rsid w:val="00772358"/>
    <w:rsid w:val="007754E8"/>
    <w:rsid w:val="007810B0"/>
    <w:rsid w:val="007A5D02"/>
    <w:rsid w:val="007A6947"/>
    <w:rsid w:val="007B482B"/>
    <w:rsid w:val="007B53D2"/>
    <w:rsid w:val="007C1346"/>
    <w:rsid w:val="007C3088"/>
    <w:rsid w:val="007C3C7E"/>
    <w:rsid w:val="007D1D1F"/>
    <w:rsid w:val="007D723D"/>
    <w:rsid w:val="007E2DC3"/>
    <w:rsid w:val="007F0DB7"/>
    <w:rsid w:val="007F1484"/>
    <w:rsid w:val="007F29FF"/>
    <w:rsid w:val="00801CB2"/>
    <w:rsid w:val="00814BF0"/>
    <w:rsid w:val="00817E0C"/>
    <w:rsid w:val="00823EEE"/>
    <w:rsid w:val="00826732"/>
    <w:rsid w:val="00835BB5"/>
    <w:rsid w:val="008429F2"/>
    <w:rsid w:val="008609DA"/>
    <w:rsid w:val="00864598"/>
    <w:rsid w:val="008818CE"/>
    <w:rsid w:val="0088306E"/>
    <w:rsid w:val="008926C8"/>
    <w:rsid w:val="0089482D"/>
    <w:rsid w:val="008A01FD"/>
    <w:rsid w:val="008A751E"/>
    <w:rsid w:val="008B7545"/>
    <w:rsid w:val="008D1056"/>
    <w:rsid w:val="008E13CA"/>
    <w:rsid w:val="008E4815"/>
    <w:rsid w:val="008F01EA"/>
    <w:rsid w:val="008F5E79"/>
    <w:rsid w:val="008F6ED1"/>
    <w:rsid w:val="0090385D"/>
    <w:rsid w:val="009059E3"/>
    <w:rsid w:val="00907A9A"/>
    <w:rsid w:val="009202F8"/>
    <w:rsid w:val="00930ADB"/>
    <w:rsid w:val="009412B8"/>
    <w:rsid w:val="00944586"/>
    <w:rsid w:val="00951525"/>
    <w:rsid w:val="00963151"/>
    <w:rsid w:val="00973EE7"/>
    <w:rsid w:val="00985037"/>
    <w:rsid w:val="0098594B"/>
    <w:rsid w:val="009922E3"/>
    <w:rsid w:val="00993032"/>
    <w:rsid w:val="009B3B8C"/>
    <w:rsid w:val="009B6203"/>
    <w:rsid w:val="009C1C6E"/>
    <w:rsid w:val="009C5D88"/>
    <w:rsid w:val="009D1438"/>
    <w:rsid w:val="009D1EF9"/>
    <w:rsid w:val="009E026B"/>
    <w:rsid w:val="009E38AA"/>
    <w:rsid w:val="009F0C95"/>
    <w:rsid w:val="00A045D8"/>
    <w:rsid w:val="00A04E7D"/>
    <w:rsid w:val="00A050D1"/>
    <w:rsid w:val="00A05AC3"/>
    <w:rsid w:val="00A06B28"/>
    <w:rsid w:val="00A1186E"/>
    <w:rsid w:val="00A141AD"/>
    <w:rsid w:val="00A15BB8"/>
    <w:rsid w:val="00A24959"/>
    <w:rsid w:val="00A35779"/>
    <w:rsid w:val="00A37E36"/>
    <w:rsid w:val="00A45AC9"/>
    <w:rsid w:val="00A47902"/>
    <w:rsid w:val="00A5649D"/>
    <w:rsid w:val="00A702C0"/>
    <w:rsid w:val="00A728E8"/>
    <w:rsid w:val="00A73995"/>
    <w:rsid w:val="00A77339"/>
    <w:rsid w:val="00A85581"/>
    <w:rsid w:val="00A917A5"/>
    <w:rsid w:val="00AB1310"/>
    <w:rsid w:val="00AB62A2"/>
    <w:rsid w:val="00AC7B26"/>
    <w:rsid w:val="00AE05C9"/>
    <w:rsid w:val="00AE3D5A"/>
    <w:rsid w:val="00AE41E8"/>
    <w:rsid w:val="00AF7DCD"/>
    <w:rsid w:val="00B02BE5"/>
    <w:rsid w:val="00B10CAE"/>
    <w:rsid w:val="00B229FB"/>
    <w:rsid w:val="00B25F74"/>
    <w:rsid w:val="00B43932"/>
    <w:rsid w:val="00B658F4"/>
    <w:rsid w:val="00B75D5E"/>
    <w:rsid w:val="00B84A0A"/>
    <w:rsid w:val="00BA418B"/>
    <w:rsid w:val="00BA5C7D"/>
    <w:rsid w:val="00BB112A"/>
    <w:rsid w:val="00BB2588"/>
    <w:rsid w:val="00BB2994"/>
    <w:rsid w:val="00BB59EB"/>
    <w:rsid w:val="00BC515F"/>
    <w:rsid w:val="00BC6B84"/>
    <w:rsid w:val="00BC6C9C"/>
    <w:rsid w:val="00BD2E1F"/>
    <w:rsid w:val="00BD6262"/>
    <w:rsid w:val="00BD74A3"/>
    <w:rsid w:val="00C11626"/>
    <w:rsid w:val="00C15442"/>
    <w:rsid w:val="00C174E4"/>
    <w:rsid w:val="00C309D7"/>
    <w:rsid w:val="00C371C4"/>
    <w:rsid w:val="00C42D31"/>
    <w:rsid w:val="00C51B8D"/>
    <w:rsid w:val="00C724D5"/>
    <w:rsid w:val="00C74820"/>
    <w:rsid w:val="00C758E9"/>
    <w:rsid w:val="00C80642"/>
    <w:rsid w:val="00C81DB0"/>
    <w:rsid w:val="00C8798F"/>
    <w:rsid w:val="00CB7552"/>
    <w:rsid w:val="00CD02D6"/>
    <w:rsid w:val="00CD4EC0"/>
    <w:rsid w:val="00CF12AC"/>
    <w:rsid w:val="00CF2771"/>
    <w:rsid w:val="00CF2E43"/>
    <w:rsid w:val="00CF7FB4"/>
    <w:rsid w:val="00D04A5D"/>
    <w:rsid w:val="00D1023D"/>
    <w:rsid w:val="00D122FD"/>
    <w:rsid w:val="00D345A0"/>
    <w:rsid w:val="00D479CD"/>
    <w:rsid w:val="00D47DE1"/>
    <w:rsid w:val="00D5423F"/>
    <w:rsid w:val="00D550FB"/>
    <w:rsid w:val="00D56AAA"/>
    <w:rsid w:val="00DA27D1"/>
    <w:rsid w:val="00DA59E1"/>
    <w:rsid w:val="00DB0E12"/>
    <w:rsid w:val="00DB38F2"/>
    <w:rsid w:val="00DC0D54"/>
    <w:rsid w:val="00DD09A7"/>
    <w:rsid w:val="00DD68C4"/>
    <w:rsid w:val="00DD73E0"/>
    <w:rsid w:val="00DE79DC"/>
    <w:rsid w:val="00E0275D"/>
    <w:rsid w:val="00E10DEF"/>
    <w:rsid w:val="00E20DB0"/>
    <w:rsid w:val="00E20E76"/>
    <w:rsid w:val="00E34ADB"/>
    <w:rsid w:val="00E3682F"/>
    <w:rsid w:val="00E43F1A"/>
    <w:rsid w:val="00E66F25"/>
    <w:rsid w:val="00E75F88"/>
    <w:rsid w:val="00E80B6E"/>
    <w:rsid w:val="00E85E7A"/>
    <w:rsid w:val="00EA721C"/>
    <w:rsid w:val="00EB1D5B"/>
    <w:rsid w:val="00EB2B04"/>
    <w:rsid w:val="00EB3C57"/>
    <w:rsid w:val="00EB604C"/>
    <w:rsid w:val="00EC26B3"/>
    <w:rsid w:val="00EC74E3"/>
    <w:rsid w:val="00ED1472"/>
    <w:rsid w:val="00ED352D"/>
    <w:rsid w:val="00ED552A"/>
    <w:rsid w:val="00EE2F21"/>
    <w:rsid w:val="00EF531F"/>
    <w:rsid w:val="00EF723D"/>
    <w:rsid w:val="00F00EC8"/>
    <w:rsid w:val="00F06663"/>
    <w:rsid w:val="00F13086"/>
    <w:rsid w:val="00F178AA"/>
    <w:rsid w:val="00F254BE"/>
    <w:rsid w:val="00F460DA"/>
    <w:rsid w:val="00F4797F"/>
    <w:rsid w:val="00F62428"/>
    <w:rsid w:val="00F71A1D"/>
    <w:rsid w:val="00F72A43"/>
    <w:rsid w:val="00F7707E"/>
    <w:rsid w:val="00FA4B60"/>
    <w:rsid w:val="00FD1DC0"/>
    <w:rsid w:val="00FE678C"/>
    <w:rsid w:val="00FE7AB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DBD78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Times" w:hAnsi="Times"/>
      <w:szCs w:val="24"/>
      <w:lang w:eastAsia="en-US"/>
    </w:rPr>
  </w:style>
  <w:style w:type="paragraph" w:styleId="Heading1">
    <w:name w:val="heading 1"/>
    <w:aliases w:val="Paper Title"/>
    <w:next w:val="AuthorList"/>
    <w:qFormat/>
    <w:rsid w:val="006C58CD"/>
    <w:pPr>
      <w:keepNext/>
      <w:spacing w:after="60"/>
      <w:jc w:val="center"/>
      <w:outlineLvl w:val="0"/>
    </w:pPr>
    <w:rPr>
      <w:rFonts w:cs="Arial"/>
      <w:b/>
      <w:bCs/>
      <w:caps/>
      <w:kern w:val="32"/>
      <w:sz w:val="28"/>
      <w:szCs w:val="32"/>
      <w:lang w:eastAsia="en-US"/>
    </w:rPr>
  </w:style>
  <w:style w:type="paragraph" w:styleId="Heading2">
    <w:name w:val="heading 2"/>
    <w:aliases w:val="Section Heading"/>
    <w:next w:val="BodyTextIndent"/>
    <w:qFormat/>
    <w:rsid w:val="006C58CD"/>
    <w:pPr>
      <w:keepNext/>
      <w:spacing w:before="240" w:after="60"/>
      <w:jc w:val="center"/>
      <w:outlineLvl w:val="1"/>
    </w:pPr>
    <w:rPr>
      <w:rFonts w:cs="Arial"/>
      <w:b/>
      <w:bCs/>
      <w:iCs/>
      <w:caps/>
      <w:kern w:val="16"/>
      <w:sz w:val="24"/>
      <w:szCs w:val="28"/>
      <w:lang w:eastAsia="en-US"/>
    </w:rPr>
  </w:style>
  <w:style w:type="paragraph" w:styleId="Heading3">
    <w:name w:val="heading 3"/>
    <w:aliases w:val="Subsection Heading"/>
    <w:next w:val="BodyTextIndent"/>
    <w:qFormat/>
    <w:rsid w:val="006C58CD"/>
    <w:pPr>
      <w:keepNext/>
      <w:spacing w:before="120" w:after="60"/>
      <w:outlineLvl w:val="2"/>
    </w:pPr>
    <w:rPr>
      <w:rFonts w:cs="Arial"/>
      <w:bCs/>
      <w:i/>
      <w:sz w:val="24"/>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link w:val="FootnoteTextChar"/>
    <w:rsid w:val="006C58CD"/>
    <w:rPr>
      <w:sz w:val="16"/>
      <w:lang w:eastAsia="en-US"/>
    </w:rPr>
  </w:style>
  <w:style w:type="paragraph" w:customStyle="1" w:styleId="AbstractTitle">
    <w:name w:val="Abstract Title"/>
    <w:next w:val="BodyTextIndent"/>
    <w:rsid w:val="002C6318"/>
    <w:rPr>
      <w:i/>
      <w:sz w:val="24"/>
      <w:szCs w:val="24"/>
      <w:lang w:eastAsia="en-US"/>
    </w:rPr>
  </w:style>
  <w:style w:type="paragraph" w:customStyle="1" w:styleId="AuthorList">
    <w:name w:val="Author List"/>
    <w:next w:val="AbstractTitle"/>
    <w:autoRedefine/>
    <w:rsid w:val="00DE79DC"/>
    <w:pPr>
      <w:spacing w:before="180" w:after="240"/>
      <w:jc w:val="center"/>
    </w:pPr>
    <w:rPr>
      <w:sz w:val="24"/>
      <w:szCs w:val="24"/>
      <w:lang w:eastAsia="en-US"/>
    </w:rPr>
  </w:style>
  <w:style w:type="paragraph" w:customStyle="1" w:styleId="FigureCaption">
    <w:name w:val="Figure Caption"/>
    <w:next w:val="BodyTextIndent"/>
    <w:rsid w:val="002C6318"/>
    <w:pPr>
      <w:spacing w:before="60" w:after="120"/>
      <w:jc w:val="center"/>
    </w:pPr>
    <w:rPr>
      <w:szCs w:val="24"/>
      <w:lang w:eastAsia="en-US"/>
    </w:rPr>
  </w:style>
  <w:style w:type="paragraph" w:customStyle="1" w:styleId="TableCaption">
    <w:name w:val="Table Caption"/>
    <w:next w:val="BodyTextIndent"/>
    <w:rsid w:val="006C58CD"/>
    <w:pPr>
      <w:spacing w:before="60" w:after="60"/>
      <w:jc w:val="center"/>
    </w:pPr>
    <w:rPr>
      <w:szCs w:val="24"/>
      <w:lang w:eastAsia="en-US"/>
    </w:rPr>
  </w:style>
  <w:style w:type="character" w:styleId="FootnoteReference">
    <w:name w:val="footnote reference"/>
    <w:basedOn w:val="DefaultParagraphFont"/>
    <w:rsid w:val="006C58CD"/>
    <w:rPr>
      <w:rFonts w:ascii="Times New Roman" w:hAnsi="Times New Roman"/>
      <w:sz w:val="20"/>
      <w:vertAlign w:val="superscript"/>
    </w:rPr>
  </w:style>
  <w:style w:type="paragraph" w:customStyle="1" w:styleId="Equation">
    <w:name w:val="Equation"/>
    <w:basedOn w:val="BodyTextNoIndent"/>
    <w:next w:val="BodyTextNoIndent"/>
    <w:autoRedefine/>
    <w:rsid w:val="00DE79DC"/>
    <w:pPr>
      <w:spacing w:before="240" w:after="240"/>
      <w:jc w:val="right"/>
    </w:pPr>
    <w:rPr>
      <w:kern w:val="16"/>
    </w:rPr>
  </w:style>
  <w:style w:type="paragraph" w:customStyle="1" w:styleId="ReferenceTextChar">
    <w:name w:val="Reference Text Char"/>
    <w:basedOn w:val="Normal"/>
    <w:link w:val="ReferenceTextCharChar"/>
    <w:autoRedefine/>
    <w:rsid w:val="00DE79DC"/>
    <w:pPr>
      <w:tabs>
        <w:tab w:val="left" w:pos="360"/>
      </w:tabs>
      <w:ind w:left="360" w:hanging="360"/>
    </w:pPr>
    <w:rPr>
      <w:rFonts w:ascii="Times New Roman" w:hAnsi="Times New Roman"/>
    </w:rPr>
  </w:style>
  <w:style w:type="paragraph" w:styleId="BodyTextIndent">
    <w:name w:val="Body Text Indent"/>
    <w:link w:val="BodyTextIndentChar"/>
    <w:rsid w:val="002C6318"/>
    <w:pPr>
      <w:ind w:firstLine="187"/>
      <w:jc w:val="both"/>
    </w:pPr>
    <w:rPr>
      <w:lang w:eastAsia="en-US"/>
    </w:rPr>
  </w:style>
  <w:style w:type="character" w:styleId="Hyperlink">
    <w:name w:val="Hyperlink"/>
    <w:basedOn w:val="DefaultParagraphFont"/>
    <w:rPr>
      <w:color w:val="0000FF"/>
      <w:u w:val="single"/>
    </w:rPr>
  </w:style>
  <w:style w:type="paragraph" w:customStyle="1" w:styleId="BulletedList">
    <w:name w:val="Bulleted List"/>
    <w:rsid w:val="003C52DD"/>
    <w:pPr>
      <w:numPr>
        <w:numId w:val="2"/>
      </w:numPr>
      <w:jc w:val="both"/>
    </w:pPr>
    <w:rPr>
      <w:szCs w:val="24"/>
      <w:lang w:eastAsia="en-US"/>
    </w:rPr>
  </w:style>
  <w:style w:type="character" w:customStyle="1" w:styleId="ReferenceTextCharChar">
    <w:name w:val="Reference Text Char Char"/>
    <w:basedOn w:val="DefaultParagraphFont"/>
    <w:link w:val="ReferenceTextChar"/>
    <w:rsid w:val="00BC6C9C"/>
    <w:rPr>
      <w:szCs w:val="24"/>
      <w:lang w:val="en-GB" w:eastAsia="en-US" w:bidi="ar-SA"/>
    </w:rPr>
  </w:style>
  <w:style w:type="paragraph" w:styleId="BalloonText">
    <w:name w:val="Balloon Text"/>
    <w:basedOn w:val="Normal"/>
    <w:link w:val="BalloonTextChar"/>
    <w:rsid w:val="00C371C4"/>
    <w:rPr>
      <w:rFonts w:ascii="Tahoma" w:hAnsi="Tahoma" w:cs="Tahoma"/>
      <w:sz w:val="16"/>
      <w:szCs w:val="16"/>
    </w:rPr>
  </w:style>
  <w:style w:type="paragraph" w:styleId="Caption">
    <w:name w:val="caption"/>
    <w:basedOn w:val="Normal"/>
    <w:next w:val="Normal"/>
    <w:qFormat/>
    <w:pPr>
      <w:spacing w:before="120" w:after="120"/>
    </w:pPr>
    <w:rPr>
      <w:b/>
      <w:bCs/>
      <w:szCs w:val="20"/>
    </w:rPr>
  </w:style>
  <w:style w:type="paragraph" w:customStyle="1" w:styleId="BodyTextNoIndent">
    <w:name w:val="Body Text No Indent"/>
    <w:basedOn w:val="BodyTextIndent"/>
    <w:rsid w:val="002C6318"/>
    <w:pPr>
      <w:ind w:firstLine="0"/>
    </w:pPr>
  </w:style>
  <w:style w:type="paragraph" w:customStyle="1" w:styleId="FigureCaptionMultiLine">
    <w:name w:val="Figure Caption Multi Line"/>
    <w:basedOn w:val="FigureCaption"/>
    <w:next w:val="BodyTextIndent"/>
    <w:rsid w:val="006C58CD"/>
    <w:pPr>
      <w:jc w:val="both"/>
    </w:pPr>
    <w:rPr>
      <w:szCs w:val="20"/>
    </w:rPr>
  </w:style>
  <w:style w:type="paragraph" w:customStyle="1" w:styleId="TableCaptionMultiLine">
    <w:name w:val="Table Caption Multi Line"/>
    <w:basedOn w:val="TableCaption"/>
    <w:next w:val="BodyTextIndent"/>
    <w:rsid w:val="006C58CD"/>
    <w:pPr>
      <w:jc w:val="both"/>
    </w:pPr>
    <w:rPr>
      <w:szCs w:val="20"/>
    </w:rPr>
  </w:style>
  <w:style w:type="character" w:customStyle="1" w:styleId="BalloonTextChar">
    <w:name w:val="Balloon Text Char"/>
    <w:basedOn w:val="DefaultParagraphFont"/>
    <w:link w:val="BalloonText"/>
    <w:rsid w:val="00C371C4"/>
    <w:rPr>
      <w:rFonts w:ascii="Tahoma" w:hAnsi="Tahoma" w:cs="Tahoma"/>
      <w:sz w:val="16"/>
      <w:szCs w:val="16"/>
      <w:lang w:eastAsia="en-US"/>
    </w:rPr>
  </w:style>
  <w:style w:type="table" w:styleId="TableGrid">
    <w:name w:val="Table Grid"/>
    <w:basedOn w:val="TableNormal"/>
    <w:rsid w:val="00032A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047768"/>
    <w:pPr>
      <w:tabs>
        <w:tab w:val="left" w:pos="360"/>
      </w:tabs>
      <w:ind w:left="360" w:hanging="360"/>
    </w:pPr>
  </w:style>
  <w:style w:type="character" w:customStyle="1" w:styleId="ReferenceChar">
    <w:name w:val="Reference Char"/>
    <w:link w:val="Reference"/>
    <w:rsid w:val="00047768"/>
    <w:rPr>
      <w:rFonts w:ascii="Times" w:hAnsi="Times"/>
      <w:szCs w:val="24"/>
      <w:lang w:eastAsia="en-US"/>
    </w:rPr>
  </w:style>
  <w:style w:type="character" w:customStyle="1" w:styleId="BodyTextIndentChar">
    <w:name w:val="Body Text Indent Char"/>
    <w:link w:val="BodyTextIndent"/>
    <w:rsid w:val="00047768"/>
    <w:rPr>
      <w:lang w:eastAsia="en-US"/>
    </w:rPr>
  </w:style>
  <w:style w:type="character" w:styleId="FollowedHyperlink">
    <w:name w:val="FollowedHyperlink"/>
    <w:basedOn w:val="DefaultParagraphFont"/>
    <w:rsid w:val="000C1F79"/>
    <w:rPr>
      <w:color w:val="800080" w:themeColor="followedHyperlink"/>
      <w:u w:val="single"/>
    </w:rPr>
  </w:style>
  <w:style w:type="character" w:customStyle="1" w:styleId="FootnoteTextChar">
    <w:name w:val="Footnote Text Char"/>
    <w:basedOn w:val="DefaultParagraphFont"/>
    <w:link w:val="FootnoteText"/>
    <w:rsid w:val="00A47902"/>
    <w:rPr>
      <w:sz w:val="16"/>
      <w:lang w:eastAsia="en-US"/>
    </w:rPr>
  </w:style>
  <w:style w:type="character" w:styleId="CommentReference">
    <w:name w:val="annotation reference"/>
    <w:basedOn w:val="DefaultParagraphFont"/>
    <w:rsid w:val="00F7707E"/>
    <w:rPr>
      <w:sz w:val="16"/>
      <w:szCs w:val="16"/>
    </w:rPr>
  </w:style>
  <w:style w:type="paragraph" w:styleId="CommentText">
    <w:name w:val="annotation text"/>
    <w:basedOn w:val="Normal"/>
    <w:link w:val="CommentTextChar"/>
    <w:rsid w:val="00F7707E"/>
    <w:rPr>
      <w:szCs w:val="20"/>
    </w:rPr>
  </w:style>
  <w:style w:type="character" w:customStyle="1" w:styleId="CommentTextChar">
    <w:name w:val="Comment Text Char"/>
    <w:basedOn w:val="DefaultParagraphFont"/>
    <w:link w:val="CommentText"/>
    <w:rsid w:val="00F7707E"/>
    <w:rPr>
      <w:rFonts w:ascii="Times" w:hAnsi="Times"/>
      <w:lang w:eastAsia="en-US"/>
    </w:rPr>
  </w:style>
  <w:style w:type="paragraph" w:styleId="CommentSubject">
    <w:name w:val="annotation subject"/>
    <w:basedOn w:val="CommentText"/>
    <w:next w:val="CommentText"/>
    <w:link w:val="CommentSubjectChar"/>
    <w:rsid w:val="00F7707E"/>
    <w:rPr>
      <w:b/>
      <w:bCs/>
    </w:rPr>
  </w:style>
  <w:style w:type="character" w:customStyle="1" w:styleId="CommentSubjectChar">
    <w:name w:val="Comment Subject Char"/>
    <w:basedOn w:val="CommentTextChar"/>
    <w:link w:val="CommentSubject"/>
    <w:rsid w:val="00F7707E"/>
    <w:rPr>
      <w:rFonts w:ascii="Times" w:hAnsi="Times"/>
      <w:b/>
      <w:bCs/>
      <w:lang w:eastAsia="en-US"/>
    </w:rPr>
  </w:style>
  <w:style w:type="paragraph" w:styleId="ListParagraph">
    <w:name w:val="List Paragraph"/>
    <w:basedOn w:val="Normal"/>
    <w:uiPriority w:val="34"/>
    <w:qFormat/>
    <w:rsid w:val="00AE05C9"/>
    <w:pPr>
      <w:ind w:left="720"/>
      <w:contextualSpacing/>
      <w:jc w:val="left"/>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9239779">
      <w:bodyDiv w:val="1"/>
      <w:marLeft w:val="0"/>
      <w:marRight w:val="0"/>
      <w:marTop w:val="0"/>
      <w:marBottom w:val="0"/>
      <w:divBdr>
        <w:top w:val="none" w:sz="0" w:space="0" w:color="auto"/>
        <w:left w:val="none" w:sz="0" w:space="0" w:color="auto"/>
        <w:bottom w:val="none" w:sz="0" w:space="0" w:color="auto"/>
        <w:right w:val="none" w:sz="0" w:space="0" w:color="auto"/>
      </w:divBdr>
      <w:divsChild>
        <w:div w:id="15665138">
          <w:marLeft w:val="1166"/>
          <w:marRight w:val="0"/>
          <w:marTop w:val="0"/>
          <w:marBottom w:val="0"/>
          <w:divBdr>
            <w:top w:val="none" w:sz="0" w:space="0" w:color="auto"/>
            <w:left w:val="none" w:sz="0" w:space="0" w:color="auto"/>
            <w:bottom w:val="none" w:sz="0" w:space="0" w:color="auto"/>
            <w:right w:val="none" w:sz="0" w:space="0" w:color="auto"/>
          </w:divBdr>
        </w:div>
      </w:divsChild>
    </w:div>
    <w:div w:id="1938903408">
      <w:bodyDiv w:val="1"/>
      <w:marLeft w:val="0"/>
      <w:marRight w:val="0"/>
      <w:marTop w:val="0"/>
      <w:marBottom w:val="0"/>
      <w:divBdr>
        <w:top w:val="none" w:sz="0" w:space="0" w:color="auto"/>
        <w:left w:val="none" w:sz="0" w:space="0" w:color="auto"/>
        <w:bottom w:val="none" w:sz="0" w:space="0" w:color="auto"/>
        <w:right w:val="none" w:sz="0" w:space="0" w:color="auto"/>
      </w:divBdr>
      <w:divsChild>
        <w:div w:id="1596136950">
          <w:marLeft w:val="446"/>
          <w:marRight w:val="0"/>
          <w:marTop w:val="0"/>
          <w:marBottom w:val="0"/>
          <w:divBdr>
            <w:top w:val="none" w:sz="0" w:space="0" w:color="auto"/>
            <w:left w:val="none" w:sz="0" w:space="0" w:color="auto"/>
            <w:bottom w:val="none" w:sz="0" w:space="0" w:color="auto"/>
            <w:right w:val="none" w:sz="0" w:space="0" w:color="auto"/>
          </w:divBdr>
        </w:div>
      </w:divsChild>
    </w:div>
    <w:div w:id="2098406822">
      <w:bodyDiv w:val="1"/>
      <w:marLeft w:val="0"/>
      <w:marRight w:val="0"/>
      <w:marTop w:val="0"/>
      <w:marBottom w:val="0"/>
      <w:divBdr>
        <w:top w:val="none" w:sz="0" w:space="0" w:color="auto"/>
        <w:left w:val="none" w:sz="0" w:space="0" w:color="auto"/>
        <w:bottom w:val="none" w:sz="0" w:space="0" w:color="auto"/>
        <w:right w:val="none" w:sz="0" w:space="0" w:color="auto"/>
      </w:divBdr>
    </w:div>
    <w:div w:id="2144614997">
      <w:bodyDiv w:val="1"/>
      <w:marLeft w:val="0"/>
      <w:marRight w:val="0"/>
      <w:marTop w:val="0"/>
      <w:marBottom w:val="0"/>
      <w:divBdr>
        <w:top w:val="none" w:sz="0" w:space="0" w:color="auto"/>
        <w:left w:val="none" w:sz="0" w:space="0" w:color="auto"/>
        <w:bottom w:val="none" w:sz="0" w:space="0" w:color="auto"/>
        <w:right w:val="none" w:sz="0" w:space="0" w:color="auto"/>
      </w:divBdr>
      <w:divsChild>
        <w:div w:id="94504220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todd\Application%20Data\Microsoft\Templates\JACoW_W03_A4.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AC65-B614-44CD-B9A1-5A8DB3704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JACoW_W03_A4.doc</Template>
  <TotalTime>10</TotalTime>
  <Pages>6</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btodd</dc:creator>
  <cp:lastModifiedBy>Andrea Apollonio</cp:lastModifiedBy>
  <cp:revision>6</cp:revision>
  <cp:lastPrinted>2013-02-12T15:22:00Z</cp:lastPrinted>
  <dcterms:created xsi:type="dcterms:W3CDTF">2017-02-06T10:03:00Z</dcterms:created>
  <dcterms:modified xsi:type="dcterms:W3CDTF">2017-02-07T13:23:00Z</dcterms:modified>
</cp:coreProperties>
</file>