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5665" w:rsidRDefault="002E0D53" w:rsidP="00165665">
      <w:pPr>
        <w:pStyle w:val="Heading1"/>
      </w:pPr>
      <w:r>
        <w:t>lhc CRYOGENICS –</w:t>
      </w:r>
      <w:r w:rsidR="00255A10">
        <w:t xml:space="preserve"> </w:t>
      </w:r>
      <w:r w:rsidR="00CC5A4C">
        <w:t>strategy, unavailability root causes and limitations (Run 2016)</w:t>
      </w:r>
    </w:p>
    <w:p w:rsidR="002E0D53" w:rsidRDefault="002E0D53" w:rsidP="00165665">
      <w:pPr>
        <w:pStyle w:val="AuthorList"/>
      </w:pPr>
      <w:r w:rsidRPr="002E0D53">
        <w:rPr>
          <w:kern w:val="16"/>
        </w:rPr>
        <w:t>K</w:t>
      </w:r>
      <w:r w:rsidR="00165665" w:rsidRPr="002E0D53">
        <w:rPr>
          <w:kern w:val="16"/>
        </w:rPr>
        <w:t xml:space="preserve">. </w:t>
      </w:r>
      <w:r w:rsidRPr="002E0D53">
        <w:rPr>
          <w:kern w:val="16"/>
        </w:rPr>
        <w:t>Brodzinski</w:t>
      </w:r>
      <w:r w:rsidR="00165665" w:rsidRPr="002E0D53">
        <w:rPr>
          <w:kern w:val="16"/>
        </w:rPr>
        <w:t xml:space="preserve">, </w:t>
      </w:r>
      <w:r w:rsidRPr="002E0D53">
        <w:rPr>
          <w:kern w:val="16"/>
        </w:rPr>
        <w:t>S</w:t>
      </w:r>
      <w:r w:rsidR="00165665" w:rsidRPr="002E0D53">
        <w:rPr>
          <w:kern w:val="16"/>
        </w:rPr>
        <w:t xml:space="preserve">. </w:t>
      </w:r>
      <w:r w:rsidRPr="002E0D53">
        <w:rPr>
          <w:kern w:val="16"/>
        </w:rPr>
        <w:t>Claudet</w:t>
      </w:r>
      <w:r w:rsidR="00165665" w:rsidRPr="002E0D53">
        <w:rPr>
          <w:kern w:val="16"/>
        </w:rPr>
        <w:t>,</w:t>
      </w:r>
      <w:r w:rsidRPr="002E0D53">
        <w:rPr>
          <w:kern w:val="16"/>
        </w:rPr>
        <w:t xml:space="preserve"> </w:t>
      </w:r>
      <w:r w:rsidR="00BD7E1D">
        <w:rPr>
          <w:kern w:val="16"/>
        </w:rPr>
        <w:t xml:space="preserve">D. Delikaris, L. Delprat, </w:t>
      </w:r>
      <w:r w:rsidRPr="002E0D53">
        <w:rPr>
          <w:kern w:val="16"/>
        </w:rPr>
        <w:t>G. F</w:t>
      </w:r>
      <w:r>
        <w:rPr>
          <w:kern w:val="16"/>
        </w:rPr>
        <w:t>erlin</w:t>
      </w:r>
      <w:r w:rsidR="00BD7E1D">
        <w:rPr>
          <w:kern w:val="16"/>
        </w:rPr>
        <w:t xml:space="preserve">, </w:t>
      </w:r>
      <w:r w:rsidR="00CC5A4C">
        <w:rPr>
          <w:kern w:val="16"/>
        </w:rPr>
        <w:t xml:space="preserve">and </w:t>
      </w:r>
      <w:r w:rsidR="00BD7E1D">
        <w:rPr>
          <w:kern w:val="16"/>
        </w:rPr>
        <w:t>E. Rogez</w:t>
      </w:r>
      <w:r w:rsidR="00165665" w:rsidRPr="002E0D53">
        <w:rPr>
          <w:kern w:val="16"/>
        </w:rPr>
        <w:t xml:space="preserve"> </w:t>
      </w:r>
      <w:r w:rsidR="00BD7E1D">
        <w:rPr>
          <w:kern w:val="16"/>
        </w:rPr>
        <w:br/>
      </w:r>
      <w:r w:rsidR="00165665" w:rsidRPr="002E0D53">
        <w:rPr>
          <w:kern w:val="16"/>
        </w:rPr>
        <w:t xml:space="preserve">CERN, Geneva, </w:t>
      </w:r>
      <w:r w:rsidR="00165665" w:rsidRPr="002E0D53">
        <w:t>Switzerland</w:t>
      </w:r>
    </w:p>
    <w:p w:rsidR="00165665" w:rsidRPr="002E0D53" w:rsidRDefault="00165665" w:rsidP="00165665">
      <w:pPr>
        <w:pStyle w:val="AuthorList"/>
        <w:rPr>
          <w:kern w:val="16"/>
        </w:rPr>
        <w:sectPr w:rsidR="00165665" w:rsidRPr="002E0D53" w:rsidSect="007F325F">
          <w:footnotePr>
            <w:pos w:val="beneathText"/>
            <w:numFmt w:val="chicago"/>
          </w:footnotePr>
          <w:endnotePr>
            <w:numFmt w:val="decimal"/>
          </w:endnotePr>
          <w:type w:val="continuous"/>
          <w:pgSz w:w="11909" w:h="16834" w:code="9"/>
          <w:pgMar w:top="2102" w:right="1138" w:bottom="1080" w:left="1138" w:header="1080" w:footer="1080" w:gutter="0"/>
          <w:cols w:space="720"/>
          <w:titlePg/>
          <w:docGrid w:linePitch="360"/>
        </w:sectPr>
      </w:pPr>
      <w:r w:rsidRPr="002E0D53">
        <w:rPr>
          <w:kern w:val="16"/>
        </w:rPr>
        <w:br/>
      </w:r>
    </w:p>
    <w:p w:rsidR="00165665" w:rsidRDefault="00165665" w:rsidP="00165665">
      <w:pPr>
        <w:pStyle w:val="AbstractTitle"/>
        <w:rPr>
          <w:kern w:val="16"/>
        </w:rPr>
      </w:pPr>
      <w:r>
        <w:rPr>
          <w:kern w:val="16"/>
        </w:rPr>
        <w:t>Abstract</w:t>
      </w:r>
    </w:p>
    <w:p w:rsidR="00832F3C" w:rsidRDefault="00472D96" w:rsidP="00832F3C">
      <w:pPr>
        <w:pStyle w:val="BodyTextIndent"/>
        <w:rPr>
          <w:kern w:val="16"/>
        </w:rPr>
      </w:pPr>
      <w:r>
        <w:rPr>
          <w:kern w:val="16"/>
        </w:rPr>
        <w:t>Run2 (2016) is considered as very successful year</w:t>
      </w:r>
      <w:r w:rsidR="005D49AC">
        <w:rPr>
          <w:kern w:val="16"/>
        </w:rPr>
        <w:t>.</w:t>
      </w:r>
      <w:r>
        <w:rPr>
          <w:kern w:val="16"/>
        </w:rPr>
        <w:t xml:space="preserve"> </w:t>
      </w:r>
      <w:r w:rsidR="005D49AC">
        <w:rPr>
          <w:kern w:val="16"/>
        </w:rPr>
        <w:t>The</w:t>
      </w:r>
      <w:r>
        <w:rPr>
          <w:kern w:val="16"/>
        </w:rPr>
        <w:t xml:space="preserve"> cryogenic availability </w:t>
      </w:r>
      <w:r w:rsidR="005D49AC">
        <w:rPr>
          <w:kern w:val="16"/>
        </w:rPr>
        <w:t xml:space="preserve">indicated by Cryo Maintain (CM) interlock </w:t>
      </w:r>
      <w:r>
        <w:rPr>
          <w:kern w:val="16"/>
        </w:rPr>
        <w:t>reached the level of 98.6 %. Such a good result comes from multiple factors</w:t>
      </w:r>
      <w:r w:rsidR="00832F3C">
        <w:rPr>
          <w:kern w:val="16"/>
        </w:rPr>
        <w:t>,</w:t>
      </w:r>
      <w:r w:rsidR="005D49AC">
        <w:rPr>
          <w:kern w:val="16"/>
        </w:rPr>
        <w:t xml:space="preserve"> where </w:t>
      </w:r>
      <w:r>
        <w:rPr>
          <w:kern w:val="16"/>
        </w:rPr>
        <w:t xml:space="preserve">operation scenario is a </w:t>
      </w:r>
      <w:r w:rsidR="005D49AC">
        <w:rPr>
          <w:kern w:val="16"/>
        </w:rPr>
        <w:t xml:space="preserve">strategic </w:t>
      </w:r>
      <w:r>
        <w:rPr>
          <w:kern w:val="16"/>
        </w:rPr>
        <w:t xml:space="preserve">key point for the cryogenic </w:t>
      </w:r>
      <w:r w:rsidR="005D49AC">
        <w:rPr>
          <w:kern w:val="16"/>
        </w:rPr>
        <w:t>production plants</w:t>
      </w:r>
      <w:r>
        <w:rPr>
          <w:kern w:val="16"/>
        </w:rPr>
        <w:t xml:space="preserve"> configuration. New operation scenario</w:t>
      </w:r>
      <w:r w:rsidR="00DB1DB0">
        <w:rPr>
          <w:kern w:val="16"/>
        </w:rPr>
        <w:t>,</w:t>
      </w:r>
      <w:r>
        <w:rPr>
          <w:kern w:val="16"/>
        </w:rPr>
        <w:t xml:space="preserve"> </w:t>
      </w:r>
      <w:r w:rsidR="00DB1DB0">
        <w:rPr>
          <w:kern w:val="16"/>
        </w:rPr>
        <w:t xml:space="preserve">with optimization </w:t>
      </w:r>
      <w:r w:rsidR="00DB1DB0" w:rsidRPr="00335EC5">
        <w:rPr>
          <w:kern w:val="16"/>
        </w:rPr>
        <w:t>on P18/P2 cryogenic plants</w:t>
      </w:r>
      <w:r w:rsidR="00DB1DB0">
        <w:rPr>
          <w:kern w:val="16"/>
        </w:rPr>
        <w:t xml:space="preserve">, </w:t>
      </w:r>
      <w:r>
        <w:rPr>
          <w:kern w:val="16"/>
        </w:rPr>
        <w:t xml:space="preserve">was validated and set as production configuration </w:t>
      </w:r>
      <w:r w:rsidR="005D49AC">
        <w:rPr>
          <w:kern w:val="16"/>
        </w:rPr>
        <w:t>from 25</w:t>
      </w:r>
      <w:r w:rsidR="005D49AC" w:rsidRPr="005D49AC">
        <w:rPr>
          <w:kern w:val="16"/>
          <w:vertAlign w:val="superscript"/>
        </w:rPr>
        <w:t>th</w:t>
      </w:r>
      <w:r w:rsidR="005D49AC">
        <w:rPr>
          <w:kern w:val="16"/>
        </w:rPr>
        <w:t xml:space="preserve"> March 2016. </w:t>
      </w:r>
      <w:r w:rsidR="00832F3C">
        <w:rPr>
          <w:kern w:val="16"/>
        </w:rPr>
        <w:br/>
      </w:r>
      <w:r w:rsidR="005D49AC">
        <w:rPr>
          <w:kern w:val="16"/>
        </w:rPr>
        <w:t>Helium yearly consumption was on the l</w:t>
      </w:r>
      <w:r w:rsidR="00832F3C">
        <w:rPr>
          <w:kern w:val="16"/>
        </w:rPr>
        <w:t>evel of 14% of total inventory.</w:t>
      </w:r>
    </w:p>
    <w:p w:rsidR="00472D96" w:rsidRDefault="005D49AC" w:rsidP="00832F3C">
      <w:pPr>
        <w:pStyle w:val="BodyTextIndent"/>
        <w:ind w:firstLine="0"/>
        <w:rPr>
          <w:kern w:val="16"/>
        </w:rPr>
      </w:pPr>
      <w:r>
        <w:rPr>
          <w:kern w:val="16"/>
        </w:rPr>
        <w:t xml:space="preserve">Consolidations and repairs applied during YETS </w:t>
      </w:r>
      <w:r w:rsidR="009D3060">
        <w:rPr>
          <w:kern w:val="16"/>
        </w:rPr>
        <w:t>2015</w:t>
      </w:r>
      <w:r>
        <w:rPr>
          <w:kern w:val="16"/>
        </w:rPr>
        <w:t xml:space="preserve"> were effective and </w:t>
      </w:r>
      <w:r w:rsidR="00DB1DB0">
        <w:rPr>
          <w:kern w:val="16"/>
        </w:rPr>
        <w:t>resulted directly in improvement of cryogenic stability and availability.</w:t>
      </w:r>
    </w:p>
    <w:p w:rsidR="00DB1DB0" w:rsidRDefault="00DB1DB0" w:rsidP="00DB1DB0">
      <w:pPr>
        <w:pStyle w:val="BodyTextIndent"/>
        <w:ind w:firstLine="0"/>
        <w:rPr>
          <w:kern w:val="16"/>
        </w:rPr>
      </w:pPr>
      <w:r>
        <w:rPr>
          <w:kern w:val="16"/>
        </w:rPr>
        <w:t>Beam screen (BS) heat load was handled without particular problems thanks to optimized feed-forward logic and also by fact that beam parameters were limited by other factors than cryogenics. However</w:t>
      </w:r>
      <w:r w:rsidR="00F56307">
        <w:rPr>
          <w:kern w:val="16"/>
        </w:rPr>
        <w:t>,</w:t>
      </w:r>
      <w:r>
        <w:rPr>
          <w:kern w:val="16"/>
        </w:rPr>
        <w:t xml:space="preserve"> in some cases related heat load deposition was ~50% higher </w:t>
      </w:r>
      <w:r w:rsidR="00F56307">
        <w:rPr>
          <w:kern w:val="16"/>
        </w:rPr>
        <w:t>than values assumed for the LHC design.</w:t>
      </w:r>
    </w:p>
    <w:p w:rsidR="001617B8" w:rsidRPr="00335EC5" w:rsidRDefault="001617B8" w:rsidP="001617B8">
      <w:pPr>
        <w:pStyle w:val="BodyTextIndent"/>
        <w:ind w:firstLine="0"/>
        <w:rPr>
          <w:kern w:val="16"/>
        </w:rPr>
      </w:pPr>
      <w:r w:rsidRPr="00335EC5">
        <w:rPr>
          <w:kern w:val="16"/>
        </w:rPr>
        <w:t xml:space="preserve">Last year operation period was affected with one major failure </w:t>
      </w:r>
      <w:r>
        <w:rPr>
          <w:kern w:val="16"/>
        </w:rPr>
        <w:t xml:space="preserve">of a helium compressor. The system reconfiguration and applied strategy for the cryogenic spare parts allowed for continuous operation of the plant and replacement of defective part during dedicated technical stop. </w:t>
      </w:r>
    </w:p>
    <w:p w:rsidR="00165665" w:rsidRDefault="00AD5520" w:rsidP="00165665">
      <w:pPr>
        <w:pStyle w:val="Heading2"/>
        <w:spacing w:before="180"/>
      </w:pPr>
      <w:r>
        <w:t>introduction</w:t>
      </w:r>
    </w:p>
    <w:p w:rsidR="00CD3695" w:rsidRDefault="00045646" w:rsidP="00165665">
      <w:pPr>
        <w:pStyle w:val="BodyTextIndent"/>
        <w:rPr>
          <w:kern w:val="16"/>
        </w:rPr>
      </w:pPr>
      <w:r>
        <w:rPr>
          <w:kern w:val="16"/>
        </w:rPr>
        <w:t>The cryogenic infrastructure built around LHC</w:t>
      </w:r>
      <w:r w:rsidR="00E25E86">
        <w:rPr>
          <w:kern w:val="16"/>
        </w:rPr>
        <w:t xml:space="preserve"> ring</w:t>
      </w:r>
      <w:r w:rsidR="00F02CBE">
        <w:rPr>
          <w:kern w:val="16"/>
        </w:rPr>
        <w:t xml:space="preserve"> is </w:t>
      </w:r>
      <w:r>
        <w:rPr>
          <w:kern w:val="16"/>
        </w:rPr>
        <w:t xml:space="preserve">composed of 8 cryogenic plants </w:t>
      </w:r>
      <w:r w:rsidR="00E25E86">
        <w:rPr>
          <w:kern w:val="16"/>
        </w:rPr>
        <w:t>supplying</w:t>
      </w:r>
      <w:r>
        <w:rPr>
          <w:kern w:val="16"/>
        </w:rPr>
        <w:t xml:space="preserve"> 8 </w:t>
      </w:r>
      <w:r w:rsidR="00E25E86">
        <w:rPr>
          <w:kern w:val="16"/>
        </w:rPr>
        <w:t>related</w:t>
      </w:r>
      <w:r>
        <w:rPr>
          <w:kern w:val="16"/>
        </w:rPr>
        <w:t xml:space="preserve"> LHC sectors. </w:t>
      </w:r>
      <w:r w:rsidR="00CD3695">
        <w:rPr>
          <w:kern w:val="16"/>
        </w:rPr>
        <w:t xml:space="preserve">Thanks to different intersection piping, various operation scenarios can be set for operation depending on availability of the cryogenic equipment (e.g. because of failure reasons) or optimizing for energy consumption </w:t>
      </w:r>
      <w:r w:rsidR="00677D4B">
        <w:rPr>
          <w:kern w:val="16"/>
        </w:rPr>
        <w:t xml:space="preserve">and </w:t>
      </w:r>
      <w:r w:rsidR="002576AF">
        <w:rPr>
          <w:kern w:val="16"/>
        </w:rPr>
        <w:t>availability</w:t>
      </w:r>
      <w:r w:rsidR="002576AF" w:rsidRPr="00FE76B3">
        <w:rPr>
          <w:kern w:val="16"/>
        </w:rPr>
        <w:t xml:space="preserve"> [</w:t>
      </w:r>
      <w:r w:rsidR="00CD3695" w:rsidRPr="00FE76B3">
        <w:rPr>
          <w:kern w:val="16"/>
        </w:rPr>
        <w:t xml:space="preserve">1, 2]. </w:t>
      </w:r>
      <w:r w:rsidR="00CD3695">
        <w:rPr>
          <w:kern w:val="16"/>
        </w:rPr>
        <w:t xml:space="preserve">Each operation scenario is validated with several tests before </w:t>
      </w:r>
      <w:r w:rsidR="00AD5BFE">
        <w:rPr>
          <w:kern w:val="16"/>
        </w:rPr>
        <w:t>admittance</w:t>
      </w:r>
      <w:r w:rsidR="00CD3695">
        <w:rPr>
          <w:kern w:val="16"/>
        </w:rPr>
        <w:t xml:space="preserve"> for operation with physics.</w:t>
      </w:r>
      <w:r w:rsidR="00AD5BFE">
        <w:rPr>
          <w:kern w:val="16"/>
        </w:rPr>
        <w:t xml:space="preserve"> Figure 1 presents t</w:t>
      </w:r>
      <w:r w:rsidR="00677D4B">
        <w:rPr>
          <w:kern w:val="16"/>
        </w:rPr>
        <w:t xml:space="preserve">hree </w:t>
      </w:r>
      <w:r w:rsidR="00AD5BFE">
        <w:rPr>
          <w:kern w:val="16"/>
        </w:rPr>
        <w:t>operatio</w:t>
      </w:r>
      <w:r w:rsidR="00677D4B">
        <w:rPr>
          <w:kern w:val="16"/>
        </w:rPr>
        <w:t>n scenarios applied for Run1,</w:t>
      </w:r>
      <w:r w:rsidR="00AD5BFE">
        <w:rPr>
          <w:kern w:val="16"/>
        </w:rPr>
        <w:t xml:space="preserve"> Run2 (2015)</w:t>
      </w:r>
      <w:r w:rsidR="00677D4B">
        <w:rPr>
          <w:kern w:val="16"/>
        </w:rPr>
        <w:t xml:space="preserve"> and Run2 (2016)</w:t>
      </w:r>
      <w:r w:rsidR="00AD5BFE">
        <w:rPr>
          <w:kern w:val="16"/>
        </w:rPr>
        <w:t xml:space="preserve">. </w:t>
      </w:r>
    </w:p>
    <w:p w:rsidR="00474A65" w:rsidRDefault="00474A65" w:rsidP="00474A65">
      <w:pPr>
        <w:pStyle w:val="BodyTextIndent"/>
        <w:rPr>
          <w:kern w:val="16"/>
        </w:rPr>
      </w:pPr>
      <w:r>
        <w:rPr>
          <w:kern w:val="16"/>
        </w:rPr>
        <w:t>The LHC Run1, with beam parameters lower than nominal, allowed for LHC operation with disabled cryoplants A at P6 and P8 (see Fig.1). The cooling power for both relate</w:t>
      </w:r>
      <w:r w:rsidR="00EE0A91">
        <w:rPr>
          <w:kern w:val="16"/>
        </w:rPr>
        <w:t>d sectors was provided by plant</w:t>
      </w:r>
      <w:r w:rsidR="001C53C5">
        <w:rPr>
          <w:kern w:val="16"/>
        </w:rPr>
        <w:t xml:space="preserve"> B. This </w:t>
      </w:r>
      <w:r>
        <w:rPr>
          <w:kern w:val="16"/>
        </w:rPr>
        <w:t>configuration allowed for electric</w:t>
      </w:r>
      <w:r w:rsidR="00EE0A91">
        <w:rPr>
          <w:kern w:val="16"/>
        </w:rPr>
        <w:t>al power savings over</w:t>
      </w:r>
      <w:r>
        <w:rPr>
          <w:kern w:val="16"/>
        </w:rPr>
        <w:t xml:space="preserve"> 3 years of operation between 10</w:t>
      </w:r>
      <w:r w:rsidR="00D24D78">
        <w:rPr>
          <w:kern w:val="16"/>
        </w:rPr>
        <w:t>%</w:t>
      </w:r>
      <w:r>
        <w:rPr>
          <w:kern w:val="16"/>
        </w:rPr>
        <w:t xml:space="preserve"> and 20% with rel</w:t>
      </w:r>
      <w:r w:rsidR="009D3060">
        <w:rPr>
          <w:kern w:val="16"/>
        </w:rPr>
        <w:t>ation to the installed power</w:t>
      </w:r>
      <w:r>
        <w:rPr>
          <w:kern w:val="16"/>
        </w:rPr>
        <w:t xml:space="preserve">. </w:t>
      </w:r>
    </w:p>
    <w:p w:rsidR="00BD5BF3" w:rsidRDefault="00BD5BF3" w:rsidP="00BD5BF3">
      <w:pPr>
        <w:pStyle w:val="BodyTextIndent"/>
        <w:rPr>
          <w:kern w:val="16"/>
        </w:rPr>
      </w:pPr>
      <w:r>
        <w:rPr>
          <w:kern w:val="16"/>
        </w:rPr>
        <w:t>Run2 (2015) operati</w:t>
      </w:r>
      <w:r w:rsidR="001C53C5">
        <w:rPr>
          <w:kern w:val="16"/>
        </w:rPr>
        <w:t>on scenario was put in place in </w:t>
      </w:r>
      <w:r>
        <w:rPr>
          <w:kern w:val="16"/>
        </w:rPr>
        <w:t>order to optimize for availability of rotating machines. Thanks to lower than assu</w:t>
      </w:r>
      <w:r w:rsidR="001C53C5">
        <w:rPr>
          <w:kern w:val="16"/>
        </w:rPr>
        <w:t>med for design heat load at 1.9 </w:t>
      </w:r>
      <w:r>
        <w:rPr>
          <w:kern w:val="16"/>
        </w:rPr>
        <w:t xml:space="preserve">K combined with built-in capacity margin on cold compressors, three </w:t>
      </w:r>
      <w:r>
        <w:rPr>
          <w:kern w:val="16"/>
        </w:rPr>
        <w:t>1.8 K pumping unit</w:t>
      </w:r>
      <w:r w:rsidR="00BE350F">
        <w:rPr>
          <w:kern w:val="16"/>
        </w:rPr>
        <w:t>s could be stopped and kept as</w:t>
      </w:r>
      <w:r>
        <w:rPr>
          <w:kern w:val="16"/>
        </w:rPr>
        <w:t xml:space="preserve"> hot spare</w:t>
      </w:r>
      <w:r w:rsidR="00BE350F">
        <w:rPr>
          <w:kern w:val="16"/>
        </w:rPr>
        <w:t>s</w:t>
      </w:r>
      <w:r>
        <w:rPr>
          <w:kern w:val="16"/>
        </w:rPr>
        <w:t xml:space="preserve"> in case of failures. </w:t>
      </w:r>
    </w:p>
    <w:p w:rsidR="003F7FA6" w:rsidRDefault="00677D4B" w:rsidP="009D3060">
      <w:pPr>
        <w:pStyle w:val="BodyTextIndent"/>
        <w:rPr>
          <w:kern w:val="16"/>
        </w:rPr>
      </w:pPr>
      <w:r>
        <w:rPr>
          <w:kern w:val="16"/>
        </w:rPr>
        <w:t>Run2 (2016) operation scenario was put in production from 25</w:t>
      </w:r>
      <w:r w:rsidRPr="00677D4B">
        <w:rPr>
          <w:kern w:val="16"/>
          <w:vertAlign w:val="superscript"/>
        </w:rPr>
        <w:t>th</w:t>
      </w:r>
      <w:r>
        <w:rPr>
          <w:kern w:val="16"/>
        </w:rPr>
        <w:t xml:space="preserve"> March after dedicated validation test. This operation scenario completes </w:t>
      </w:r>
      <w:r w:rsidR="00407F0D">
        <w:rPr>
          <w:kern w:val="16"/>
        </w:rPr>
        <w:t>assumed approach to run</w:t>
      </w:r>
      <w:r>
        <w:rPr>
          <w:kern w:val="16"/>
        </w:rPr>
        <w:t xml:space="preserve"> one cold pumping unit over two sectors</w:t>
      </w:r>
      <w:r w:rsidR="009D3060">
        <w:rPr>
          <w:kern w:val="16"/>
        </w:rPr>
        <w:t xml:space="preserve"> with 4 pumping units off</w:t>
      </w:r>
      <w:r>
        <w:rPr>
          <w:kern w:val="16"/>
        </w:rPr>
        <w:t xml:space="preserve">. </w:t>
      </w:r>
    </w:p>
    <w:p w:rsidR="003F7FA6" w:rsidRDefault="00474A65" w:rsidP="0026730B">
      <w:pPr>
        <w:pStyle w:val="BodyTextIndent"/>
        <w:ind w:firstLine="0"/>
        <w:jc w:val="center"/>
        <w:rPr>
          <w:kern w:val="16"/>
        </w:rPr>
      </w:pPr>
      <w:r>
        <w:rPr>
          <w:noProof/>
          <w:kern w:val="16"/>
          <w:lang w:eastAsia="en-GB"/>
        </w:rPr>
        <w:drawing>
          <wp:inline distT="0" distB="0" distL="0" distR="0" wp14:anchorId="661A2873">
            <wp:extent cx="2015065" cy="1977426"/>
            <wp:effectExtent l="0" t="0" r="0" b="381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3485" cy="1995502"/>
                    </a:xfrm>
                    <a:prstGeom prst="rect">
                      <a:avLst/>
                    </a:prstGeom>
                    <a:noFill/>
                  </pic:spPr>
                </pic:pic>
              </a:graphicData>
            </a:graphic>
          </wp:inline>
        </w:drawing>
      </w:r>
    </w:p>
    <w:p w:rsidR="00474A65" w:rsidRDefault="00474A65" w:rsidP="00474A65">
      <w:pPr>
        <w:pStyle w:val="BodyTextIndent"/>
        <w:ind w:firstLine="0"/>
        <w:jc w:val="center"/>
        <w:rPr>
          <w:kern w:val="16"/>
        </w:rPr>
      </w:pPr>
    </w:p>
    <w:p w:rsidR="00474A65" w:rsidRDefault="00474A65" w:rsidP="00474A65">
      <w:pPr>
        <w:pStyle w:val="BodyTextIndent"/>
        <w:ind w:firstLine="0"/>
        <w:jc w:val="center"/>
        <w:rPr>
          <w:kern w:val="16"/>
        </w:rPr>
      </w:pPr>
      <w:r>
        <w:rPr>
          <w:noProof/>
          <w:kern w:val="16"/>
          <w:lang w:eastAsia="en-GB"/>
        </w:rPr>
        <w:drawing>
          <wp:inline distT="0" distB="0" distL="0" distR="0" wp14:anchorId="1EA594B9">
            <wp:extent cx="1690374" cy="1727823"/>
            <wp:effectExtent l="0" t="0" r="5080" b="635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5258" cy="1794145"/>
                    </a:xfrm>
                    <a:prstGeom prst="rect">
                      <a:avLst/>
                    </a:prstGeom>
                    <a:noFill/>
                  </pic:spPr>
                </pic:pic>
              </a:graphicData>
            </a:graphic>
          </wp:inline>
        </w:drawing>
      </w:r>
    </w:p>
    <w:p w:rsidR="0026730B" w:rsidRDefault="0026730B" w:rsidP="00474A65">
      <w:pPr>
        <w:pStyle w:val="BodyTextIndent"/>
        <w:ind w:firstLine="0"/>
        <w:jc w:val="center"/>
        <w:rPr>
          <w:kern w:val="16"/>
        </w:rPr>
      </w:pPr>
    </w:p>
    <w:p w:rsidR="0026730B" w:rsidRDefault="0026730B" w:rsidP="00474A65">
      <w:pPr>
        <w:pStyle w:val="BodyTextIndent"/>
        <w:ind w:firstLine="0"/>
        <w:jc w:val="center"/>
        <w:rPr>
          <w:kern w:val="16"/>
        </w:rPr>
      </w:pPr>
      <w:r>
        <w:rPr>
          <w:noProof/>
          <w:kern w:val="16"/>
          <w:lang w:eastAsia="en-GB"/>
        </w:rPr>
        <w:drawing>
          <wp:inline distT="0" distB="0" distL="0" distR="0" wp14:anchorId="775D68D8">
            <wp:extent cx="1753543" cy="1800751"/>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8016" cy="1805344"/>
                    </a:xfrm>
                    <a:prstGeom prst="rect">
                      <a:avLst/>
                    </a:prstGeom>
                    <a:noFill/>
                  </pic:spPr>
                </pic:pic>
              </a:graphicData>
            </a:graphic>
          </wp:inline>
        </w:drawing>
      </w:r>
    </w:p>
    <w:p w:rsidR="0026730B" w:rsidRDefault="0026730B" w:rsidP="00474A65">
      <w:pPr>
        <w:pStyle w:val="BodyTextIndent"/>
        <w:ind w:firstLine="0"/>
        <w:jc w:val="center"/>
        <w:rPr>
          <w:kern w:val="16"/>
        </w:rPr>
      </w:pPr>
    </w:p>
    <w:p w:rsidR="00AD5BFE" w:rsidRDefault="00474A65" w:rsidP="00474A65">
      <w:pPr>
        <w:pStyle w:val="BodyTextIndent"/>
        <w:ind w:firstLine="0"/>
        <w:jc w:val="center"/>
        <w:rPr>
          <w:kern w:val="16"/>
        </w:rPr>
      </w:pPr>
      <w:r>
        <w:rPr>
          <w:kern w:val="16"/>
        </w:rPr>
        <w:t>Figure 1: LHC cryogenic operation scenarios</w:t>
      </w:r>
    </w:p>
    <w:p w:rsidR="00165665" w:rsidRDefault="00A62086" w:rsidP="00474A65">
      <w:pPr>
        <w:pStyle w:val="Heading2"/>
        <w:spacing w:before="180"/>
      </w:pPr>
      <w:r>
        <w:lastRenderedPageBreak/>
        <w:t xml:space="preserve">global capacity optimization for sectors 2-3 and 7-8 </w:t>
      </w:r>
    </w:p>
    <w:p w:rsidR="007F22F9" w:rsidRDefault="00055D8E" w:rsidP="007F22F9">
      <w:pPr>
        <w:pStyle w:val="BodyTextIndent"/>
        <w:rPr>
          <w:kern w:val="16"/>
        </w:rPr>
      </w:pPr>
      <w:r>
        <w:rPr>
          <w:kern w:val="16"/>
        </w:rPr>
        <w:t>Sectors 2-3 and 7-8 are equipped with t</w:t>
      </w:r>
      <w:r w:rsidR="00B21900">
        <w:rPr>
          <w:kern w:val="16"/>
        </w:rPr>
        <w:t>he same type of cryogenic plant</w:t>
      </w:r>
      <w:r>
        <w:rPr>
          <w:kern w:val="16"/>
        </w:rPr>
        <w:t xml:space="preserve"> upgraded from LEP. Experience of 2015 run shown that global capacity of these two plants shall be investigated and optimized (valid especially for sector 2-3 which is one of the most heat loaded sectors from electron cloud effect).</w:t>
      </w:r>
      <w:r w:rsidR="00B22803">
        <w:rPr>
          <w:kern w:val="16"/>
        </w:rPr>
        <w:t xml:space="preserve"> In March 2016 two mentioned plants were tested and optimized reaching capacity limit for BS heat load compensation at the level of 10.3 kW and 9.3 kW for sectors 2-3 and 7-8 respectively (195 W/hc for s2-3 and 175 W/hc for s7-8). The limits are valid for steady state operation</w:t>
      </w:r>
      <w:r w:rsidR="002D03C3">
        <w:rPr>
          <w:kern w:val="16"/>
        </w:rPr>
        <w:t xml:space="preserve"> with reserved ~50-60 g/s of cold flow for 1.9 K refrigeration. </w:t>
      </w:r>
    </w:p>
    <w:p w:rsidR="00920885" w:rsidRDefault="007F22F9" w:rsidP="00AC72F1">
      <w:pPr>
        <w:pStyle w:val="BodyTextIndent"/>
        <w:rPr>
          <w:kern w:val="16"/>
        </w:rPr>
      </w:pPr>
      <w:r>
        <w:rPr>
          <w:kern w:val="16"/>
        </w:rPr>
        <w:t>Adaptability of the cold boxes capacity for the heat load transients was tested with rapid</w:t>
      </w:r>
      <w:r w:rsidR="002D03C3">
        <w:rPr>
          <w:kern w:val="16"/>
        </w:rPr>
        <w:t xml:space="preserve"> increase and decrease of </w:t>
      </w:r>
      <w:r>
        <w:rPr>
          <w:kern w:val="16"/>
        </w:rPr>
        <w:t>the heat load delivered by electrical heaters (-/+5 kW for s7-8 and -/+6 kW for s2-3 without losses of CM signal). The corresponding curves are presented in Figures 2 and 3.</w:t>
      </w:r>
    </w:p>
    <w:p w:rsidR="00A62086" w:rsidRDefault="00920885" w:rsidP="00AC72F1">
      <w:pPr>
        <w:pStyle w:val="BodyTextIndent"/>
        <w:rPr>
          <w:kern w:val="16"/>
        </w:rPr>
      </w:pPr>
      <w:r>
        <w:rPr>
          <w:kern w:val="16"/>
        </w:rPr>
        <w:t>Considering real dynamic behaviour of the system</w:t>
      </w:r>
      <w:r w:rsidR="00B21900">
        <w:rPr>
          <w:kern w:val="16"/>
        </w:rPr>
        <w:t xml:space="preserve"> with beam</w:t>
      </w:r>
      <w:r>
        <w:rPr>
          <w:kern w:val="16"/>
        </w:rPr>
        <w:t>, value of 160 W/hc is assumed as guaranteed operation limit applicable for all cryogenic plants of the LHC for next operation year.</w:t>
      </w:r>
    </w:p>
    <w:p w:rsidR="00FB3752" w:rsidRDefault="00FB3752" w:rsidP="00AC72F1">
      <w:pPr>
        <w:pStyle w:val="BodyTextIndent"/>
        <w:rPr>
          <w:kern w:val="16"/>
        </w:rPr>
      </w:pPr>
    </w:p>
    <w:p w:rsidR="00FB3752" w:rsidRDefault="00FB3752" w:rsidP="00FB3752">
      <w:pPr>
        <w:pStyle w:val="BodyTextIndent"/>
        <w:ind w:firstLine="0"/>
        <w:rPr>
          <w:kern w:val="16"/>
        </w:rPr>
      </w:pPr>
      <w:r>
        <w:rPr>
          <w:noProof/>
          <w:kern w:val="16"/>
          <w:lang w:eastAsia="en-GB"/>
        </w:rPr>
        <w:drawing>
          <wp:inline distT="0" distB="0" distL="0" distR="0" wp14:anchorId="1A9595D1">
            <wp:extent cx="2945154" cy="191234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5179" cy="1918858"/>
                    </a:xfrm>
                    <a:prstGeom prst="rect">
                      <a:avLst/>
                    </a:prstGeom>
                    <a:noFill/>
                  </pic:spPr>
                </pic:pic>
              </a:graphicData>
            </a:graphic>
          </wp:inline>
        </w:drawing>
      </w:r>
    </w:p>
    <w:p w:rsidR="00FB3752" w:rsidRDefault="00FB3752" w:rsidP="00FB3752">
      <w:pPr>
        <w:pStyle w:val="BodyTextIndent"/>
        <w:ind w:firstLine="0"/>
        <w:jc w:val="center"/>
        <w:rPr>
          <w:kern w:val="16"/>
        </w:rPr>
      </w:pPr>
      <w:r>
        <w:rPr>
          <w:kern w:val="16"/>
        </w:rPr>
        <w:t>Figure 2: capacity optimization for s2-3.</w:t>
      </w:r>
    </w:p>
    <w:p w:rsidR="00FB3752" w:rsidRDefault="00FB3752" w:rsidP="00AC72F1">
      <w:pPr>
        <w:pStyle w:val="BodyTextIndent"/>
        <w:rPr>
          <w:kern w:val="16"/>
        </w:rPr>
      </w:pPr>
    </w:p>
    <w:p w:rsidR="007F22F9" w:rsidRDefault="00FB3752" w:rsidP="00FB3752">
      <w:pPr>
        <w:pStyle w:val="BodyTextIndent"/>
        <w:ind w:firstLine="0"/>
        <w:rPr>
          <w:kern w:val="16"/>
        </w:rPr>
      </w:pPr>
      <w:r>
        <w:rPr>
          <w:noProof/>
          <w:kern w:val="16"/>
          <w:lang w:eastAsia="en-GB"/>
        </w:rPr>
        <w:drawing>
          <wp:inline distT="0" distB="0" distL="0" distR="0" wp14:anchorId="2CAC215B">
            <wp:extent cx="2922715" cy="1899279"/>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1198" cy="1904792"/>
                    </a:xfrm>
                    <a:prstGeom prst="rect">
                      <a:avLst/>
                    </a:prstGeom>
                    <a:noFill/>
                  </pic:spPr>
                </pic:pic>
              </a:graphicData>
            </a:graphic>
          </wp:inline>
        </w:drawing>
      </w:r>
    </w:p>
    <w:p w:rsidR="007F22F9" w:rsidRDefault="00FB3752" w:rsidP="00FB3752">
      <w:pPr>
        <w:pStyle w:val="BodyTextIndent"/>
        <w:ind w:firstLine="0"/>
        <w:jc w:val="center"/>
        <w:rPr>
          <w:kern w:val="16"/>
        </w:rPr>
      </w:pPr>
      <w:r>
        <w:rPr>
          <w:kern w:val="16"/>
        </w:rPr>
        <w:t>Figure 3: Capacity optimization for s7-8.</w:t>
      </w:r>
    </w:p>
    <w:p w:rsidR="00BD5BF3" w:rsidRDefault="00E00518" w:rsidP="00BD5BF3">
      <w:pPr>
        <w:pStyle w:val="Heading2"/>
        <w:spacing w:before="180"/>
      </w:pPr>
      <w:r>
        <w:t xml:space="preserve">post 2015 Repairs, </w:t>
      </w:r>
      <w:r w:rsidR="00BD5BF3">
        <w:t xml:space="preserve">Main failures and operational difficulties </w:t>
      </w:r>
    </w:p>
    <w:p w:rsidR="00E00518" w:rsidRDefault="004E7A53" w:rsidP="00D62CD4">
      <w:pPr>
        <w:pStyle w:val="BodyTextIndent"/>
        <w:rPr>
          <w:kern w:val="16"/>
        </w:rPr>
      </w:pPr>
      <w:r>
        <w:rPr>
          <w:kern w:val="16"/>
        </w:rPr>
        <w:t xml:space="preserve">During YETS 2015 </w:t>
      </w:r>
      <w:r w:rsidR="00E00518">
        <w:rPr>
          <w:kern w:val="16"/>
        </w:rPr>
        <w:t xml:space="preserve">main cryogenic refrigerator supplying sector 8-1 (QSRB at P8) was repaired for two </w:t>
      </w:r>
      <w:r w:rsidR="00E00518">
        <w:rPr>
          <w:kern w:val="16"/>
        </w:rPr>
        <w:t xml:space="preserve">internal leaks. First leak concerned turbines circuits (mentioned in Evian 2015) and second one concerned Aluminium/Stainless steel transition which was repaired temporarily with special vacuum varnish (related spare part was ordered and is planned to be installed during EYETS). The performed </w:t>
      </w:r>
      <w:r w:rsidR="004A69F1">
        <w:rPr>
          <w:kern w:val="16"/>
        </w:rPr>
        <w:t>repairs</w:t>
      </w:r>
      <w:r w:rsidR="00E00518">
        <w:rPr>
          <w:kern w:val="16"/>
        </w:rPr>
        <w:t xml:space="preserve"> allowed for smooth operation of the </w:t>
      </w:r>
      <w:r w:rsidR="004A69F1">
        <w:rPr>
          <w:kern w:val="16"/>
        </w:rPr>
        <w:t xml:space="preserve">cold box during whole 2016 year </w:t>
      </w:r>
      <w:r w:rsidR="00934EF6">
        <w:rPr>
          <w:kern w:val="16"/>
        </w:rPr>
        <w:t xml:space="preserve">significantly </w:t>
      </w:r>
      <w:r w:rsidR="004A69F1">
        <w:rPr>
          <w:kern w:val="16"/>
        </w:rPr>
        <w:t xml:space="preserve">reducing </w:t>
      </w:r>
      <w:r w:rsidR="00934EF6">
        <w:rPr>
          <w:kern w:val="16"/>
        </w:rPr>
        <w:t xml:space="preserve">number of CM signal </w:t>
      </w:r>
      <w:r w:rsidR="004A69F1">
        <w:rPr>
          <w:kern w:val="16"/>
        </w:rPr>
        <w:t>losses.</w:t>
      </w:r>
    </w:p>
    <w:p w:rsidR="00E00518" w:rsidRDefault="004249A2" w:rsidP="00D62CD4">
      <w:pPr>
        <w:pStyle w:val="BodyTextIndent"/>
        <w:rPr>
          <w:kern w:val="16"/>
        </w:rPr>
      </w:pPr>
      <w:r>
        <w:rPr>
          <w:kern w:val="16"/>
        </w:rPr>
        <w:t xml:space="preserve">Main failures during 2016 concerned </w:t>
      </w:r>
      <w:r w:rsidR="00263140">
        <w:rPr>
          <w:kern w:val="16"/>
        </w:rPr>
        <w:t>two</w:t>
      </w:r>
      <w:r>
        <w:rPr>
          <w:kern w:val="16"/>
        </w:rPr>
        <w:t xml:space="preserve"> warm compressor</w:t>
      </w:r>
      <w:r w:rsidR="00263140">
        <w:rPr>
          <w:kern w:val="16"/>
        </w:rPr>
        <w:t>s</w:t>
      </w:r>
      <w:r>
        <w:rPr>
          <w:kern w:val="16"/>
        </w:rPr>
        <w:t xml:space="preserve"> </w:t>
      </w:r>
      <w:r w:rsidR="00263140">
        <w:rPr>
          <w:kern w:val="16"/>
        </w:rPr>
        <w:t xml:space="preserve">(P8 and </w:t>
      </w:r>
      <w:r w:rsidRPr="00117BDB">
        <w:rPr>
          <w:kern w:val="16"/>
        </w:rPr>
        <w:t>P</w:t>
      </w:r>
      <w:r w:rsidR="00117BDB" w:rsidRPr="00117BDB">
        <w:rPr>
          <w:kern w:val="16"/>
        </w:rPr>
        <w:t>4</w:t>
      </w:r>
      <w:r w:rsidR="00263140">
        <w:rPr>
          <w:kern w:val="16"/>
        </w:rPr>
        <w:t>)</w:t>
      </w:r>
      <w:r>
        <w:rPr>
          <w:color w:val="FF0000"/>
          <w:kern w:val="16"/>
        </w:rPr>
        <w:t xml:space="preserve"> </w:t>
      </w:r>
      <w:r w:rsidRPr="004249A2">
        <w:rPr>
          <w:kern w:val="16"/>
        </w:rPr>
        <w:t xml:space="preserve">and </w:t>
      </w:r>
      <w:r w:rsidR="00263140">
        <w:rPr>
          <w:kern w:val="16"/>
        </w:rPr>
        <w:t>two</w:t>
      </w:r>
      <w:r w:rsidRPr="004249A2">
        <w:rPr>
          <w:kern w:val="16"/>
        </w:rPr>
        <w:t xml:space="preserve"> electrical motor</w:t>
      </w:r>
      <w:r w:rsidR="00263140">
        <w:rPr>
          <w:kern w:val="16"/>
        </w:rPr>
        <w:t>s</w:t>
      </w:r>
      <w:r w:rsidRPr="004249A2">
        <w:rPr>
          <w:kern w:val="16"/>
        </w:rPr>
        <w:t xml:space="preserve"> for warm compressor station</w:t>
      </w:r>
      <w:r>
        <w:rPr>
          <w:color w:val="FF0000"/>
          <w:kern w:val="16"/>
        </w:rPr>
        <w:t xml:space="preserve"> </w:t>
      </w:r>
      <w:r w:rsidRPr="00117BDB">
        <w:rPr>
          <w:kern w:val="16"/>
        </w:rPr>
        <w:t>at P</w:t>
      </w:r>
      <w:r w:rsidR="00117BDB" w:rsidRPr="00263140">
        <w:rPr>
          <w:kern w:val="16"/>
        </w:rPr>
        <w:t>2</w:t>
      </w:r>
      <w:r w:rsidRPr="00263140">
        <w:rPr>
          <w:kern w:val="16"/>
        </w:rPr>
        <w:t xml:space="preserve">. </w:t>
      </w:r>
      <w:r>
        <w:rPr>
          <w:kern w:val="16"/>
        </w:rPr>
        <w:t>Additionally two PLCs controlling production plants had to be replaced because of failures.</w:t>
      </w:r>
    </w:p>
    <w:p w:rsidR="001306CA" w:rsidRPr="004249A2" w:rsidRDefault="00263140" w:rsidP="00D62CD4">
      <w:pPr>
        <w:pStyle w:val="BodyTextIndent"/>
        <w:rPr>
          <w:kern w:val="16"/>
        </w:rPr>
      </w:pPr>
      <w:r w:rsidRPr="00263140">
        <w:rPr>
          <w:kern w:val="16"/>
        </w:rPr>
        <w:t>Five</w:t>
      </w:r>
      <w:r w:rsidR="001306CA" w:rsidRPr="00263140">
        <w:rPr>
          <w:kern w:val="16"/>
        </w:rPr>
        <w:t xml:space="preserve"> RFL valves, controlling </w:t>
      </w:r>
      <w:r w:rsidR="001306CA">
        <w:rPr>
          <w:kern w:val="16"/>
        </w:rPr>
        <w:t>AL turbines operation were replaced. First prototypes of new technical solution to replace the RF</w:t>
      </w:r>
      <w:bookmarkStart w:id="0" w:name="_GoBack"/>
      <w:bookmarkEnd w:id="0"/>
      <w:r w:rsidR="001306CA">
        <w:rPr>
          <w:kern w:val="16"/>
        </w:rPr>
        <w:t>L valves are planned to be installed for testing during EYETS.</w:t>
      </w:r>
    </w:p>
    <w:p w:rsidR="00CB12A4" w:rsidRPr="00EC530F" w:rsidRDefault="0045549E" w:rsidP="004C2C4B">
      <w:pPr>
        <w:pStyle w:val="Heading2"/>
        <w:spacing w:before="180"/>
      </w:pPr>
      <w:r>
        <w:t>cryogenic availability</w:t>
      </w:r>
    </w:p>
    <w:p w:rsidR="004C2C4B" w:rsidRDefault="004C2C4B" w:rsidP="00351C62">
      <w:pPr>
        <w:pStyle w:val="BodyTextIndent"/>
        <w:rPr>
          <w:kern w:val="16"/>
        </w:rPr>
      </w:pPr>
      <w:r>
        <w:rPr>
          <w:kern w:val="16"/>
        </w:rPr>
        <w:t>Similarly to LHC Run1, presented cryogenic availability is based on signal from cryo-maintain (CM) interlock and was equal to 9</w:t>
      </w:r>
      <w:r w:rsidR="003F549F">
        <w:rPr>
          <w:kern w:val="16"/>
        </w:rPr>
        <w:t>8</w:t>
      </w:r>
      <w:r>
        <w:rPr>
          <w:kern w:val="16"/>
        </w:rPr>
        <w:t>.</w:t>
      </w:r>
      <w:r w:rsidR="003F549F">
        <w:rPr>
          <w:kern w:val="16"/>
        </w:rPr>
        <w:t>6</w:t>
      </w:r>
      <w:r>
        <w:rPr>
          <w:kern w:val="16"/>
        </w:rPr>
        <w:t xml:space="preserve"> % </w:t>
      </w:r>
      <w:r w:rsidR="003F549F">
        <w:rPr>
          <w:kern w:val="16"/>
        </w:rPr>
        <w:t xml:space="preserve">including only </w:t>
      </w:r>
      <w:r w:rsidR="00351C62">
        <w:rPr>
          <w:kern w:val="16"/>
        </w:rPr>
        <w:t xml:space="preserve">losses generated by cryogenics and </w:t>
      </w:r>
      <w:r w:rsidR="00A11ED7">
        <w:rPr>
          <w:kern w:val="16"/>
        </w:rPr>
        <w:t xml:space="preserve">to </w:t>
      </w:r>
      <w:r w:rsidR="00351C62">
        <w:rPr>
          <w:kern w:val="16"/>
        </w:rPr>
        <w:t>94.4% including losses generated by users and supply.</w:t>
      </w:r>
      <w:r w:rsidR="003F549F">
        <w:rPr>
          <w:kern w:val="16"/>
        </w:rPr>
        <w:t xml:space="preserve"> </w:t>
      </w:r>
      <w:r w:rsidR="00351C62">
        <w:rPr>
          <w:kern w:val="16"/>
        </w:rPr>
        <w:t>The analysed operation time window f</w:t>
      </w:r>
      <w:r>
        <w:rPr>
          <w:kern w:val="16"/>
        </w:rPr>
        <w:t>or 201</w:t>
      </w:r>
      <w:r w:rsidR="003F549F">
        <w:rPr>
          <w:kern w:val="16"/>
        </w:rPr>
        <w:t>6</w:t>
      </w:r>
      <w:r w:rsidR="00351C62">
        <w:rPr>
          <w:kern w:val="16"/>
        </w:rPr>
        <w:t xml:space="preserve"> started on</w:t>
      </w:r>
      <w:r>
        <w:rPr>
          <w:kern w:val="16"/>
        </w:rPr>
        <w:t xml:space="preserve"> </w:t>
      </w:r>
      <w:r w:rsidR="003F549F">
        <w:rPr>
          <w:kern w:val="16"/>
        </w:rPr>
        <w:t>2</w:t>
      </w:r>
      <w:r>
        <w:rPr>
          <w:kern w:val="16"/>
        </w:rPr>
        <w:t>5</w:t>
      </w:r>
      <w:r w:rsidRPr="004C2C4B">
        <w:rPr>
          <w:kern w:val="16"/>
          <w:vertAlign w:val="superscript"/>
        </w:rPr>
        <w:t>th</w:t>
      </w:r>
      <w:r>
        <w:rPr>
          <w:kern w:val="16"/>
        </w:rPr>
        <w:t xml:space="preserve"> </w:t>
      </w:r>
      <w:r w:rsidR="003F549F">
        <w:rPr>
          <w:kern w:val="16"/>
        </w:rPr>
        <w:t xml:space="preserve">March </w:t>
      </w:r>
      <w:r w:rsidR="00351C62">
        <w:rPr>
          <w:kern w:val="16"/>
        </w:rPr>
        <w:t>and ended on</w:t>
      </w:r>
      <w:r w:rsidR="003F549F">
        <w:rPr>
          <w:kern w:val="16"/>
        </w:rPr>
        <w:t xml:space="preserve"> 5</w:t>
      </w:r>
      <w:r w:rsidRPr="004C2C4B">
        <w:rPr>
          <w:kern w:val="16"/>
          <w:vertAlign w:val="superscript"/>
        </w:rPr>
        <w:t>th</w:t>
      </w:r>
      <w:r>
        <w:rPr>
          <w:kern w:val="16"/>
        </w:rPr>
        <w:t xml:space="preserve"> December</w:t>
      </w:r>
      <w:r w:rsidR="008A0247">
        <w:rPr>
          <w:kern w:val="16"/>
        </w:rPr>
        <w:t xml:space="preserve"> </w:t>
      </w:r>
      <w:r w:rsidR="00351C62">
        <w:rPr>
          <w:kern w:val="16"/>
        </w:rPr>
        <w:t>(</w:t>
      </w:r>
      <w:r w:rsidR="008A0247">
        <w:rPr>
          <w:kern w:val="16"/>
        </w:rPr>
        <w:t xml:space="preserve">TSs </w:t>
      </w:r>
      <w:r w:rsidR="00351C62">
        <w:rPr>
          <w:kern w:val="16"/>
        </w:rPr>
        <w:t xml:space="preserve">were </w:t>
      </w:r>
      <w:r w:rsidR="008A0247">
        <w:rPr>
          <w:kern w:val="16"/>
        </w:rPr>
        <w:t>excluded</w:t>
      </w:r>
      <w:r w:rsidR="00351C62">
        <w:rPr>
          <w:kern w:val="16"/>
        </w:rPr>
        <w:t xml:space="preserve"> for the analysis</w:t>
      </w:r>
      <w:r>
        <w:rPr>
          <w:kern w:val="16"/>
        </w:rPr>
        <w:t>). The layou</w:t>
      </w:r>
      <w:r w:rsidR="00EC5C83">
        <w:rPr>
          <w:kern w:val="16"/>
        </w:rPr>
        <w:t>t and main contributors for down</w:t>
      </w:r>
      <w:r>
        <w:rPr>
          <w:kern w:val="16"/>
        </w:rPr>
        <w:t xml:space="preserve">time </w:t>
      </w:r>
      <w:r w:rsidR="00EC5C83">
        <w:rPr>
          <w:kern w:val="16"/>
        </w:rPr>
        <w:t>are</w:t>
      </w:r>
      <w:r>
        <w:rPr>
          <w:kern w:val="16"/>
        </w:rPr>
        <w:t xml:space="preserve"> presented in Figure 4. Comparison with results </w:t>
      </w:r>
      <w:r w:rsidR="001C53C5">
        <w:rPr>
          <w:kern w:val="16"/>
        </w:rPr>
        <w:t>from Run1 is provided in Figure </w:t>
      </w:r>
      <w:r>
        <w:rPr>
          <w:kern w:val="16"/>
        </w:rPr>
        <w:t xml:space="preserve">5. </w:t>
      </w:r>
    </w:p>
    <w:p w:rsidR="004C2C4B" w:rsidRPr="00EC530F" w:rsidRDefault="00351C62" w:rsidP="000C7710">
      <w:pPr>
        <w:pStyle w:val="BodyTextIndent"/>
        <w:ind w:firstLine="0"/>
        <w:jc w:val="center"/>
        <w:rPr>
          <w:kern w:val="16"/>
        </w:rPr>
      </w:pPr>
      <w:r>
        <w:rPr>
          <w:noProof/>
          <w:kern w:val="16"/>
          <w:lang w:eastAsia="en-GB"/>
        </w:rPr>
        <w:drawing>
          <wp:inline distT="0" distB="0" distL="0" distR="0" wp14:anchorId="142AE804">
            <wp:extent cx="2741743" cy="164659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6090" cy="1661212"/>
                    </a:xfrm>
                    <a:prstGeom prst="rect">
                      <a:avLst/>
                    </a:prstGeom>
                    <a:noFill/>
                  </pic:spPr>
                </pic:pic>
              </a:graphicData>
            </a:graphic>
          </wp:inline>
        </w:drawing>
      </w:r>
    </w:p>
    <w:p w:rsidR="00CB12A4" w:rsidRPr="00EC530F" w:rsidRDefault="004C2C4B" w:rsidP="004C2C4B">
      <w:pPr>
        <w:pStyle w:val="BodyTextIndent"/>
        <w:ind w:firstLine="0"/>
        <w:jc w:val="center"/>
        <w:rPr>
          <w:kern w:val="16"/>
        </w:rPr>
      </w:pPr>
      <w:r>
        <w:rPr>
          <w:kern w:val="16"/>
        </w:rPr>
        <w:t>Figure 4:</w:t>
      </w:r>
      <w:r w:rsidR="00351C62">
        <w:rPr>
          <w:kern w:val="16"/>
        </w:rPr>
        <w:t xml:space="preserve"> Cryogenic availability for 2016</w:t>
      </w:r>
      <w:r>
        <w:rPr>
          <w:kern w:val="16"/>
        </w:rPr>
        <w:t xml:space="preserve"> run basing on CM indicator.</w:t>
      </w:r>
    </w:p>
    <w:p w:rsidR="00CB12A4" w:rsidRPr="00EC530F" w:rsidRDefault="00CB12A4" w:rsidP="00165665">
      <w:pPr>
        <w:pStyle w:val="BodyTextIndent"/>
        <w:rPr>
          <w:kern w:val="16"/>
        </w:rPr>
      </w:pPr>
    </w:p>
    <w:p w:rsidR="00CB12A4" w:rsidRPr="00EC530F" w:rsidRDefault="00351C62" w:rsidP="00165665">
      <w:pPr>
        <w:pStyle w:val="BodyTextIndent"/>
        <w:rPr>
          <w:kern w:val="16"/>
        </w:rPr>
      </w:pPr>
      <w:r>
        <w:rPr>
          <w:noProof/>
          <w:kern w:val="16"/>
          <w:lang w:eastAsia="en-GB"/>
        </w:rPr>
        <w:drawing>
          <wp:inline distT="0" distB="0" distL="0" distR="0" wp14:anchorId="24260F06">
            <wp:extent cx="2977304" cy="2127542"/>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1635" cy="2144929"/>
                    </a:xfrm>
                    <a:prstGeom prst="rect">
                      <a:avLst/>
                    </a:prstGeom>
                    <a:noFill/>
                  </pic:spPr>
                </pic:pic>
              </a:graphicData>
            </a:graphic>
          </wp:inline>
        </w:drawing>
      </w:r>
    </w:p>
    <w:p w:rsidR="00CB12A4" w:rsidRPr="00EC530F" w:rsidRDefault="004C2C4B" w:rsidP="0048647A">
      <w:pPr>
        <w:pStyle w:val="BodyTextIndent"/>
        <w:ind w:firstLine="0"/>
        <w:jc w:val="center"/>
        <w:rPr>
          <w:kern w:val="16"/>
        </w:rPr>
      </w:pPr>
      <w:r>
        <w:rPr>
          <w:kern w:val="16"/>
        </w:rPr>
        <w:t xml:space="preserve">Figure 5: </w:t>
      </w:r>
      <w:r w:rsidR="0048647A">
        <w:rPr>
          <w:kern w:val="16"/>
        </w:rPr>
        <w:t>Cryogenic availability for Run1 and Run2.</w:t>
      </w:r>
    </w:p>
    <w:p w:rsidR="00345EC4" w:rsidRDefault="00403816" w:rsidP="00345EC4">
      <w:pPr>
        <w:pStyle w:val="Heading3"/>
        <w:rPr>
          <w:kern w:val="16"/>
        </w:rPr>
      </w:pPr>
      <w:r>
        <w:rPr>
          <w:kern w:val="16"/>
        </w:rPr>
        <w:lastRenderedPageBreak/>
        <w:t>Down</w:t>
      </w:r>
      <w:r w:rsidR="00345EC4">
        <w:rPr>
          <w:kern w:val="16"/>
        </w:rPr>
        <w:t>time analysis</w:t>
      </w:r>
    </w:p>
    <w:p w:rsidR="007D0BD9" w:rsidRDefault="00345EC4" w:rsidP="00345EC4">
      <w:pPr>
        <w:pStyle w:val="BodyTextIndent"/>
      </w:pPr>
      <w:r>
        <w:t xml:space="preserve">The total time of unavailability for </w:t>
      </w:r>
      <w:r w:rsidR="007D0BD9">
        <w:t>r</w:t>
      </w:r>
      <w:r w:rsidR="001C53C5">
        <w:t>un 201</w:t>
      </w:r>
      <w:r w:rsidR="00351C62">
        <w:t>6</w:t>
      </w:r>
      <w:r w:rsidR="001C53C5">
        <w:t xml:space="preserve"> was </w:t>
      </w:r>
      <w:r w:rsidR="00351C62">
        <w:t>79</w:t>
      </w:r>
      <w:r>
        <w:t>h2</w:t>
      </w:r>
      <w:r w:rsidR="00351C62">
        <w:t>5</w:t>
      </w:r>
      <w:r>
        <w:t xml:space="preserve">min caused by </w:t>
      </w:r>
      <w:r w:rsidR="00351C62">
        <w:t>19</w:t>
      </w:r>
      <w:r>
        <w:t xml:space="preserve"> losses of CM signal. </w:t>
      </w:r>
    </w:p>
    <w:p w:rsidR="00593D39" w:rsidRDefault="00FF1A7F" w:rsidP="007D0BD9">
      <w:pPr>
        <w:pStyle w:val="BodyTextIndent"/>
        <w:ind w:firstLine="0"/>
      </w:pPr>
      <w:r>
        <w:t xml:space="preserve">About 60% of the down time was caused by two main contributors: </w:t>
      </w:r>
      <w:r w:rsidR="00593D39">
        <w:t xml:space="preserve">production plants </w:t>
      </w:r>
      <w:r>
        <w:t xml:space="preserve">PLC failures and 1.8 K production plant </w:t>
      </w:r>
      <w:r w:rsidR="00593D39">
        <w:t xml:space="preserve">process </w:t>
      </w:r>
      <w:r>
        <w:t xml:space="preserve">failures. </w:t>
      </w:r>
    </w:p>
    <w:p w:rsidR="00FF1A7F" w:rsidRDefault="00FF1A7F" w:rsidP="00593D39">
      <w:pPr>
        <w:pStyle w:val="BodyTextIndent"/>
      </w:pPr>
      <w:r>
        <w:t xml:space="preserve">Figure 6 presents </w:t>
      </w:r>
      <w:r w:rsidR="005355BF">
        <w:t xml:space="preserve">a </w:t>
      </w:r>
      <w:r>
        <w:t xml:space="preserve">layout of all </w:t>
      </w:r>
      <w:r w:rsidR="00593D39">
        <w:t>contributors to the cryogenic down time in 2016.</w:t>
      </w:r>
    </w:p>
    <w:p w:rsidR="00345EC4" w:rsidRDefault="00593D39" w:rsidP="00593D39">
      <w:pPr>
        <w:pStyle w:val="BodyTextIndent"/>
        <w:ind w:firstLine="0"/>
        <w:jc w:val="center"/>
      </w:pPr>
      <w:r>
        <w:rPr>
          <w:noProof/>
          <w:lang w:eastAsia="en-GB"/>
        </w:rPr>
        <w:drawing>
          <wp:inline distT="0" distB="0" distL="0" distR="0" wp14:anchorId="7C5DE79C">
            <wp:extent cx="2506717" cy="1501187"/>
            <wp:effectExtent l="0" t="0" r="825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2632" cy="1522695"/>
                    </a:xfrm>
                    <a:prstGeom prst="rect">
                      <a:avLst/>
                    </a:prstGeom>
                    <a:noFill/>
                  </pic:spPr>
                </pic:pic>
              </a:graphicData>
            </a:graphic>
          </wp:inline>
        </w:drawing>
      </w:r>
    </w:p>
    <w:p w:rsidR="00345EC4" w:rsidRDefault="00C434C2" w:rsidP="00C434C2">
      <w:pPr>
        <w:pStyle w:val="BodyTextIndent"/>
        <w:ind w:firstLine="0"/>
        <w:jc w:val="center"/>
      </w:pPr>
      <w:r>
        <w:t>Figure 6: Cryogenic down time – contributors</w:t>
      </w:r>
    </w:p>
    <w:p w:rsidR="00345EC4" w:rsidRDefault="00345EC4" w:rsidP="00345EC4">
      <w:pPr>
        <w:pStyle w:val="BodyTextIndent"/>
      </w:pPr>
    </w:p>
    <w:p w:rsidR="00345EC4" w:rsidRDefault="00345EC4" w:rsidP="00345EC4">
      <w:pPr>
        <w:pStyle w:val="BodyTextIndent"/>
        <w:ind w:firstLine="0"/>
      </w:pPr>
      <w:r>
        <w:t>The most frequent losses</w:t>
      </w:r>
      <w:r w:rsidR="00C434C2">
        <w:t xml:space="preserve"> are attributed to DFBs liquid helium level perturbation</w:t>
      </w:r>
      <w:r w:rsidR="001C53C5">
        <w:t xml:space="preserve">s caused by </w:t>
      </w:r>
      <w:r w:rsidR="00593D39">
        <w:t xml:space="preserve">non-optimized process. However the number of CM losses was significantly reduced w.r.to 2015 run mainly by fact of QSRB P8 repairs and optimization of control system on related DFBs. </w:t>
      </w:r>
      <w:r w:rsidR="00C434C2">
        <w:t xml:space="preserve">The global view of </w:t>
      </w:r>
      <w:r w:rsidR="007A4751">
        <w:t xml:space="preserve">number of </w:t>
      </w:r>
      <w:r w:rsidR="00C434C2">
        <w:t>CM losses is presented in Figure 7.</w:t>
      </w:r>
    </w:p>
    <w:p w:rsidR="00C434C2" w:rsidRPr="00345EC4" w:rsidRDefault="00593D39" w:rsidP="00334178">
      <w:pPr>
        <w:pStyle w:val="BodyTextIndent"/>
        <w:ind w:firstLine="0"/>
        <w:jc w:val="center"/>
      </w:pPr>
      <w:r>
        <w:rPr>
          <w:noProof/>
          <w:lang w:eastAsia="en-GB"/>
        </w:rPr>
        <w:drawing>
          <wp:inline distT="0" distB="0" distL="0" distR="0" wp14:anchorId="257F39E3">
            <wp:extent cx="2517132" cy="1477812"/>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1927" cy="1492369"/>
                    </a:xfrm>
                    <a:prstGeom prst="rect">
                      <a:avLst/>
                    </a:prstGeom>
                    <a:noFill/>
                  </pic:spPr>
                </pic:pic>
              </a:graphicData>
            </a:graphic>
          </wp:inline>
        </w:drawing>
      </w:r>
    </w:p>
    <w:p w:rsidR="00C434C2" w:rsidRDefault="00C434C2" w:rsidP="00593D39">
      <w:pPr>
        <w:pStyle w:val="BodyTextIndent"/>
        <w:ind w:firstLine="0"/>
        <w:jc w:val="center"/>
        <w:rPr>
          <w:kern w:val="16"/>
        </w:rPr>
      </w:pPr>
      <w:r>
        <w:rPr>
          <w:kern w:val="16"/>
        </w:rPr>
        <w:t>Figure 7: Number of CM losses – contributors.</w:t>
      </w:r>
    </w:p>
    <w:p w:rsidR="00C434C2" w:rsidRDefault="00C434C2" w:rsidP="00C434C2">
      <w:pPr>
        <w:pStyle w:val="BodyTextIndent"/>
        <w:ind w:firstLine="0"/>
        <w:jc w:val="center"/>
        <w:rPr>
          <w:kern w:val="16"/>
        </w:rPr>
      </w:pPr>
    </w:p>
    <w:p w:rsidR="00C434C2" w:rsidRPr="00EC530F" w:rsidRDefault="00C434C2" w:rsidP="00C434C2">
      <w:pPr>
        <w:pStyle w:val="BodyTextIndent"/>
        <w:ind w:firstLine="0"/>
        <w:rPr>
          <w:kern w:val="16"/>
        </w:rPr>
      </w:pPr>
      <w:r>
        <w:rPr>
          <w:kern w:val="16"/>
        </w:rPr>
        <w:t>The cryogenic tea</w:t>
      </w:r>
      <w:r w:rsidR="001C53C5">
        <w:rPr>
          <w:kern w:val="16"/>
        </w:rPr>
        <w:t>m focuses to analyse origin and </w:t>
      </w:r>
      <w:r>
        <w:rPr>
          <w:kern w:val="16"/>
        </w:rPr>
        <w:t xml:space="preserve">minimize both, most time consuming and most frequent losses. </w:t>
      </w:r>
    </w:p>
    <w:p w:rsidR="00CB12A4" w:rsidRPr="00EC530F" w:rsidRDefault="00CB12A4" w:rsidP="00165665">
      <w:pPr>
        <w:pStyle w:val="BodyTextIndent"/>
        <w:rPr>
          <w:kern w:val="16"/>
        </w:rPr>
      </w:pPr>
    </w:p>
    <w:p w:rsidR="00CB12A4" w:rsidRPr="00C558EC" w:rsidRDefault="003E34CD" w:rsidP="00765890">
      <w:pPr>
        <w:pStyle w:val="Heading3"/>
        <w:rPr>
          <w:kern w:val="16"/>
        </w:rPr>
      </w:pPr>
      <w:r>
        <w:rPr>
          <w:kern w:val="16"/>
        </w:rPr>
        <w:t>Production plants availability</w:t>
      </w:r>
    </w:p>
    <w:p w:rsidR="003E34CD" w:rsidRDefault="003E34CD" w:rsidP="00165665">
      <w:pPr>
        <w:pStyle w:val="BodyTextIndent"/>
        <w:rPr>
          <w:kern w:val="16"/>
        </w:rPr>
      </w:pPr>
      <w:r>
        <w:rPr>
          <w:kern w:val="16"/>
        </w:rPr>
        <w:t xml:space="preserve">As shown in Figure 6, the main contributors to the unavailability are the failures causing stops of the cryogenic production plants (4.5 K main refrigerators </w:t>
      </w:r>
      <w:r w:rsidR="00A11ED7">
        <w:rPr>
          <w:kern w:val="16"/>
        </w:rPr>
        <w:t>and</w:t>
      </w:r>
      <w:r>
        <w:rPr>
          <w:kern w:val="16"/>
        </w:rPr>
        <w:t xml:space="preserve"> 1.8 K pumping units). Such failures are very unlike because of long time constant for recovery of operation conditions. Thanks to collaboration between the cryogenic group and BE-ICS new improvements to the control system could be introduced over las years. Optimization in operation scenario which allows for stop of 4 over 8 cold pumping units </w:t>
      </w:r>
      <w:r w:rsidR="00FA7ACB">
        <w:rPr>
          <w:kern w:val="16"/>
        </w:rPr>
        <w:t xml:space="preserve">resulted in statistical </w:t>
      </w:r>
      <w:r>
        <w:rPr>
          <w:kern w:val="16"/>
        </w:rPr>
        <w:t xml:space="preserve">low down </w:t>
      </w:r>
      <w:r w:rsidR="00FA7ACB">
        <w:rPr>
          <w:kern w:val="16"/>
        </w:rPr>
        <w:t>of</w:t>
      </w:r>
      <w:r>
        <w:rPr>
          <w:kern w:val="16"/>
        </w:rPr>
        <w:t xml:space="preserve"> the number of failures. Figures 8 and 9 show evolution of failures of 4.5 K r</w:t>
      </w:r>
      <w:r w:rsidR="00B978DB">
        <w:rPr>
          <w:kern w:val="16"/>
        </w:rPr>
        <w:t>efrigerators and 1.8 K pumping units respectively.</w:t>
      </w:r>
      <w:r w:rsidR="00FA7ACB">
        <w:rPr>
          <w:kern w:val="16"/>
        </w:rPr>
        <w:t xml:space="preserve"> Such operation scenario should be kept as </w:t>
      </w:r>
      <w:r w:rsidR="00FA7ACB">
        <w:rPr>
          <w:kern w:val="16"/>
        </w:rPr>
        <w:t>long as it could compensate effectively for heat load coming from the tunnel equipment.</w:t>
      </w:r>
    </w:p>
    <w:p w:rsidR="00B978DB" w:rsidRDefault="00B978DB" w:rsidP="00B978DB">
      <w:pPr>
        <w:pStyle w:val="BodyTextIndent"/>
        <w:ind w:firstLine="0"/>
        <w:rPr>
          <w:kern w:val="16"/>
        </w:rPr>
      </w:pPr>
    </w:p>
    <w:p w:rsidR="00B978DB" w:rsidRDefault="00B978DB" w:rsidP="00B978DB">
      <w:pPr>
        <w:pStyle w:val="BodyTextIndent"/>
        <w:ind w:firstLine="0"/>
        <w:rPr>
          <w:kern w:val="16"/>
        </w:rPr>
      </w:pPr>
      <w:r>
        <w:rPr>
          <w:noProof/>
          <w:lang w:eastAsia="en-GB"/>
        </w:rPr>
        <w:drawing>
          <wp:inline distT="0" distB="0" distL="0" distR="0" wp14:anchorId="7FC3EFB6" wp14:editId="497BFEAC">
            <wp:extent cx="2967990" cy="187261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67990" cy="1872615"/>
                    </a:xfrm>
                    <a:prstGeom prst="rect">
                      <a:avLst/>
                    </a:prstGeom>
                  </pic:spPr>
                </pic:pic>
              </a:graphicData>
            </a:graphic>
          </wp:inline>
        </w:drawing>
      </w:r>
    </w:p>
    <w:p w:rsidR="00B978DB" w:rsidRDefault="00B978DB" w:rsidP="00B978DB">
      <w:pPr>
        <w:pStyle w:val="BodyTextIndent"/>
        <w:ind w:firstLine="0"/>
        <w:jc w:val="center"/>
        <w:rPr>
          <w:kern w:val="16"/>
        </w:rPr>
      </w:pPr>
      <w:r>
        <w:rPr>
          <w:kern w:val="16"/>
        </w:rPr>
        <w:t>Figure 8: Statistics of 4.5 K refrigerator failures.</w:t>
      </w:r>
    </w:p>
    <w:p w:rsidR="00B978DB" w:rsidRDefault="00B978DB" w:rsidP="00B978DB">
      <w:pPr>
        <w:pStyle w:val="BodyTextIndent"/>
        <w:ind w:firstLine="0"/>
        <w:jc w:val="center"/>
        <w:rPr>
          <w:kern w:val="16"/>
        </w:rPr>
      </w:pPr>
    </w:p>
    <w:p w:rsidR="00B978DB" w:rsidRDefault="00B978DB" w:rsidP="00B978DB">
      <w:pPr>
        <w:pStyle w:val="BodyTextIndent"/>
        <w:ind w:firstLine="0"/>
        <w:jc w:val="center"/>
        <w:rPr>
          <w:kern w:val="16"/>
        </w:rPr>
      </w:pPr>
      <w:r>
        <w:rPr>
          <w:noProof/>
          <w:lang w:eastAsia="en-GB"/>
        </w:rPr>
        <w:drawing>
          <wp:inline distT="0" distB="0" distL="0" distR="0" wp14:anchorId="210F796B" wp14:editId="3D838421">
            <wp:extent cx="2967990" cy="18897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67990" cy="1889760"/>
                    </a:xfrm>
                    <a:prstGeom prst="rect">
                      <a:avLst/>
                    </a:prstGeom>
                  </pic:spPr>
                </pic:pic>
              </a:graphicData>
            </a:graphic>
          </wp:inline>
        </w:drawing>
      </w:r>
    </w:p>
    <w:p w:rsidR="00B978DB" w:rsidRDefault="00B978DB" w:rsidP="00B978DB">
      <w:pPr>
        <w:pStyle w:val="BodyTextIndent"/>
        <w:ind w:firstLine="0"/>
        <w:jc w:val="center"/>
        <w:rPr>
          <w:kern w:val="16"/>
        </w:rPr>
      </w:pPr>
      <w:r>
        <w:rPr>
          <w:kern w:val="16"/>
        </w:rPr>
        <w:t>Figure 9: Statistics of 1.8 K pumping units.</w:t>
      </w:r>
    </w:p>
    <w:p w:rsidR="00F0733A" w:rsidRPr="00EC530F" w:rsidRDefault="00F0733A" w:rsidP="00F0733A">
      <w:pPr>
        <w:pStyle w:val="Heading3"/>
        <w:rPr>
          <w:kern w:val="16"/>
        </w:rPr>
      </w:pPr>
      <w:r>
        <w:rPr>
          <w:kern w:val="16"/>
        </w:rPr>
        <w:t>Helium losses</w:t>
      </w:r>
    </w:p>
    <w:p w:rsidR="00536AA6" w:rsidRDefault="00E721BF" w:rsidP="00E721BF">
      <w:pPr>
        <w:pStyle w:val="BodyTextIndent"/>
        <w:rPr>
          <w:kern w:val="16"/>
        </w:rPr>
      </w:pPr>
      <w:r>
        <w:rPr>
          <w:kern w:val="16"/>
        </w:rPr>
        <w:t xml:space="preserve">Thanks </w:t>
      </w:r>
      <w:r w:rsidR="00A40B17">
        <w:rPr>
          <w:kern w:val="16"/>
        </w:rPr>
        <w:t xml:space="preserve">to collective effort </w:t>
      </w:r>
      <w:r w:rsidR="00F0733A">
        <w:rPr>
          <w:kern w:val="16"/>
        </w:rPr>
        <w:t xml:space="preserve">in the cryogenic team during Run1, LS1 and Run2 </w:t>
      </w:r>
      <w:r w:rsidR="00590BDE">
        <w:rPr>
          <w:kern w:val="16"/>
        </w:rPr>
        <w:t>the </w:t>
      </w:r>
      <w:r w:rsidR="00A40B17">
        <w:rPr>
          <w:kern w:val="16"/>
        </w:rPr>
        <w:t xml:space="preserve">helium loses were </w:t>
      </w:r>
      <w:r w:rsidR="00F0733A">
        <w:rPr>
          <w:kern w:val="16"/>
        </w:rPr>
        <w:t xml:space="preserve">significantly reduced reaching level of </w:t>
      </w:r>
      <w:r w:rsidR="00FA7ACB">
        <w:rPr>
          <w:kern w:val="16"/>
        </w:rPr>
        <w:t>14</w:t>
      </w:r>
      <w:r w:rsidR="00F0733A">
        <w:rPr>
          <w:kern w:val="16"/>
        </w:rPr>
        <w:t>%</w:t>
      </w:r>
      <w:r w:rsidR="00FA7ACB">
        <w:rPr>
          <w:kern w:val="16"/>
        </w:rPr>
        <w:t xml:space="preserve"> of total inventory</w:t>
      </w:r>
      <w:r w:rsidR="00F0733A">
        <w:rPr>
          <w:kern w:val="16"/>
        </w:rPr>
        <w:t xml:space="preserve"> for 201</w:t>
      </w:r>
      <w:r w:rsidR="00FA7ACB">
        <w:rPr>
          <w:kern w:val="16"/>
        </w:rPr>
        <w:t>6</w:t>
      </w:r>
      <w:r w:rsidR="00F0733A">
        <w:rPr>
          <w:kern w:val="16"/>
        </w:rPr>
        <w:t xml:space="preserve"> run. </w:t>
      </w:r>
      <w:r w:rsidR="00E1354A">
        <w:rPr>
          <w:kern w:val="16"/>
        </w:rPr>
        <w:t xml:space="preserve">The increase of the YETS losses in 2016 relates to the fact that the machine was emptied from helium </w:t>
      </w:r>
      <w:r w:rsidR="00043A35">
        <w:rPr>
          <w:kern w:val="16"/>
        </w:rPr>
        <w:t xml:space="preserve">and some helium was lost during the transients and warm storage on the surface </w:t>
      </w:r>
      <w:r w:rsidR="00E1354A">
        <w:rPr>
          <w:kern w:val="16"/>
        </w:rPr>
        <w:t>(while in 2015 YETS the helium stayed in the magnets)</w:t>
      </w:r>
      <w:r w:rsidR="00043A35">
        <w:rPr>
          <w:kern w:val="16"/>
        </w:rPr>
        <w:t xml:space="preserve">. Additionally, significant </w:t>
      </w:r>
      <w:r w:rsidR="00043A35" w:rsidRPr="00001289">
        <w:rPr>
          <w:kern w:val="16"/>
        </w:rPr>
        <w:t>contribution (</w:t>
      </w:r>
      <w:r w:rsidR="00001289" w:rsidRPr="00001289">
        <w:rPr>
          <w:kern w:val="16"/>
        </w:rPr>
        <w:t>~2.3</w:t>
      </w:r>
      <w:r w:rsidR="00043A35" w:rsidRPr="00001289">
        <w:rPr>
          <w:kern w:val="16"/>
        </w:rPr>
        <w:t xml:space="preserve"> t) to </w:t>
      </w:r>
      <w:r w:rsidR="00043A35">
        <w:rPr>
          <w:kern w:val="16"/>
        </w:rPr>
        <w:t xml:space="preserve">the losses comes also from two incidents classified as an </w:t>
      </w:r>
      <w:r w:rsidR="00001289">
        <w:rPr>
          <w:kern w:val="16"/>
        </w:rPr>
        <w:t xml:space="preserve">operational </w:t>
      </w:r>
      <w:r w:rsidR="00833241">
        <w:rPr>
          <w:kern w:val="16"/>
        </w:rPr>
        <w:t>issues</w:t>
      </w:r>
      <w:r w:rsidR="00043A35">
        <w:rPr>
          <w:kern w:val="16"/>
        </w:rPr>
        <w:t xml:space="preserve"> </w:t>
      </w:r>
      <w:r w:rsidR="00833241">
        <w:rPr>
          <w:kern w:val="16"/>
        </w:rPr>
        <w:t xml:space="preserve">during </w:t>
      </w:r>
      <w:r w:rsidR="00043A35">
        <w:rPr>
          <w:kern w:val="16"/>
        </w:rPr>
        <w:t>YETS.</w:t>
      </w:r>
      <w:r w:rsidR="00E1354A">
        <w:rPr>
          <w:kern w:val="16"/>
        </w:rPr>
        <w:t xml:space="preserve"> </w:t>
      </w:r>
      <w:r w:rsidR="00F0733A">
        <w:rPr>
          <w:kern w:val="16"/>
        </w:rPr>
        <w:t>Figure 10 presents evolution of</w:t>
      </w:r>
      <w:r w:rsidR="001C53C5">
        <w:rPr>
          <w:kern w:val="16"/>
        </w:rPr>
        <w:t xml:space="preserve"> the helium losses for Run1 and </w:t>
      </w:r>
      <w:r w:rsidR="00F0733A">
        <w:rPr>
          <w:kern w:val="16"/>
        </w:rPr>
        <w:t xml:space="preserve">Run2. </w:t>
      </w:r>
    </w:p>
    <w:p w:rsidR="00FA7ACB" w:rsidRDefault="00FA7ACB" w:rsidP="00FA7ACB">
      <w:pPr>
        <w:pStyle w:val="BodyTextIndent"/>
        <w:ind w:firstLine="0"/>
        <w:rPr>
          <w:kern w:val="16"/>
        </w:rPr>
      </w:pPr>
      <w:r>
        <w:rPr>
          <w:noProof/>
          <w:kern w:val="16"/>
          <w:lang w:eastAsia="en-GB"/>
        </w:rPr>
        <w:drawing>
          <wp:inline distT="0" distB="0" distL="0" distR="0" wp14:anchorId="4B478C6D">
            <wp:extent cx="2980432" cy="19301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2874" cy="1944711"/>
                    </a:xfrm>
                    <a:prstGeom prst="rect">
                      <a:avLst/>
                    </a:prstGeom>
                    <a:noFill/>
                  </pic:spPr>
                </pic:pic>
              </a:graphicData>
            </a:graphic>
          </wp:inline>
        </w:drawing>
      </w:r>
    </w:p>
    <w:p w:rsidR="00DD6580" w:rsidRDefault="00A40B17" w:rsidP="00046422">
      <w:pPr>
        <w:pStyle w:val="BodyTextIndent"/>
        <w:ind w:firstLine="0"/>
        <w:jc w:val="center"/>
        <w:rPr>
          <w:kern w:val="16"/>
        </w:rPr>
      </w:pPr>
      <w:r>
        <w:rPr>
          <w:kern w:val="16"/>
        </w:rPr>
        <w:t xml:space="preserve">Figure </w:t>
      </w:r>
      <w:r w:rsidR="00EF44CB">
        <w:rPr>
          <w:kern w:val="16"/>
        </w:rPr>
        <w:t>10</w:t>
      </w:r>
      <w:r>
        <w:rPr>
          <w:kern w:val="16"/>
        </w:rPr>
        <w:t xml:space="preserve">: </w:t>
      </w:r>
      <w:r w:rsidR="000744D2">
        <w:rPr>
          <w:kern w:val="16"/>
        </w:rPr>
        <w:t xml:space="preserve">Helium losses </w:t>
      </w:r>
      <w:r w:rsidR="00F0733A">
        <w:rPr>
          <w:kern w:val="16"/>
        </w:rPr>
        <w:t>evolution</w:t>
      </w:r>
      <w:r w:rsidR="000744D2">
        <w:rPr>
          <w:kern w:val="16"/>
        </w:rPr>
        <w:t>.</w:t>
      </w:r>
    </w:p>
    <w:p w:rsidR="00DD6580" w:rsidRPr="00EC530F" w:rsidRDefault="00DD6580" w:rsidP="00DD6580">
      <w:pPr>
        <w:pStyle w:val="Heading2"/>
        <w:spacing w:before="180"/>
      </w:pPr>
      <w:r>
        <w:lastRenderedPageBreak/>
        <w:t xml:space="preserve">beam screen </w:t>
      </w:r>
      <w:r w:rsidR="00046422">
        <w:t>heat load vs cooling capacity</w:t>
      </w:r>
    </w:p>
    <w:p w:rsidR="00F67A2F" w:rsidRDefault="00F67A2F" w:rsidP="007125E6">
      <w:pPr>
        <w:pStyle w:val="BodyTextIndent"/>
        <w:rPr>
          <w:noProof/>
          <w:kern w:val="16"/>
          <w:lang w:eastAsia="en-GB"/>
        </w:rPr>
      </w:pPr>
      <w:r>
        <w:rPr>
          <w:noProof/>
          <w:kern w:val="16"/>
          <w:lang w:eastAsia="en-GB"/>
        </w:rPr>
        <w:t>The handling of BS heat load during operation year of 2016 was fully under control. The distribution of the heat load in 2016 was similar to one form 2015 with four high loaded sectors and four low loaded sectors. In the first phase of operation, just after restart on t</w:t>
      </w:r>
      <w:r w:rsidR="002C0A5D">
        <w:rPr>
          <w:noProof/>
          <w:kern w:val="16"/>
          <w:lang w:eastAsia="en-GB"/>
        </w:rPr>
        <w:t>h</w:t>
      </w:r>
      <w:r>
        <w:rPr>
          <w:noProof/>
          <w:kern w:val="16"/>
          <w:lang w:eastAsia="en-GB"/>
        </w:rPr>
        <w:t xml:space="preserve">e beginning of the year, the maximun loaded sector (s1-2) raised with the heat load </w:t>
      </w:r>
      <w:r w:rsidR="002C0A5D">
        <w:rPr>
          <w:noProof/>
          <w:kern w:val="16"/>
          <w:lang w:eastAsia="en-GB"/>
        </w:rPr>
        <w:t xml:space="preserve">to </w:t>
      </w:r>
      <w:r>
        <w:rPr>
          <w:noProof/>
          <w:kern w:val="16"/>
          <w:lang w:eastAsia="en-GB"/>
        </w:rPr>
        <w:t>nearly 160 W/hc. Then cleaning effect allowed for decrease of the  load and operate second half of the year at the level of 90-120 W/hc for high loaded sectors and at 4</w:t>
      </w:r>
      <w:r w:rsidR="002C0A5D">
        <w:rPr>
          <w:noProof/>
          <w:kern w:val="16"/>
          <w:lang w:eastAsia="en-GB"/>
        </w:rPr>
        <w:t xml:space="preserve">0-60 W/hc for </w:t>
      </w:r>
      <w:r w:rsidR="008C48EF">
        <w:rPr>
          <w:noProof/>
          <w:kern w:val="16"/>
          <w:lang w:eastAsia="en-GB"/>
        </w:rPr>
        <w:t>l</w:t>
      </w:r>
      <w:r w:rsidR="002C0A5D">
        <w:rPr>
          <w:noProof/>
          <w:kern w:val="16"/>
          <w:lang w:eastAsia="en-GB"/>
        </w:rPr>
        <w:t>ow loaded sectors. The overview on the heat load disstribution over the sectors in 2016 is presented in</w:t>
      </w:r>
      <w:r>
        <w:rPr>
          <w:noProof/>
          <w:kern w:val="16"/>
          <w:lang w:eastAsia="en-GB"/>
        </w:rPr>
        <w:t xml:space="preserve"> Figure 11.</w:t>
      </w:r>
    </w:p>
    <w:p w:rsidR="00F67A2F" w:rsidRDefault="00AD20EC" w:rsidP="00A44AB2">
      <w:pPr>
        <w:pStyle w:val="BodyTextIndent"/>
        <w:ind w:firstLine="0"/>
        <w:jc w:val="center"/>
        <w:rPr>
          <w:noProof/>
          <w:kern w:val="16"/>
          <w:lang w:eastAsia="en-GB"/>
        </w:rPr>
      </w:pPr>
      <w:r>
        <w:rPr>
          <w:noProof/>
          <w:lang w:eastAsia="en-GB"/>
        </w:rPr>
        <w:drawing>
          <wp:inline distT="0" distB="0" distL="0" distR="0" wp14:anchorId="4EC77071" wp14:editId="3D71649B">
            <wp:extent cx="2869931" cy="4818832"/>
            <wp:effectExtent l="0" t="0" r="698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70297" cy="4819447"/>
                    </a:xfrm>
                    <a:prstGeom prst="rect">
                      <a:avLst/>
                    </a:prstGeom>
                  </pic:spPr>
                </pic:pic>
              </a:graphicData>
            </a:graphic>
          </wp:inline>
        </w:drawing>
      </w:r>
    </w:p>
    <w:p w:rsidR="00F30042" w:rsidRDefault="00F30042" w:rsidP="00F30042">
      <w:pPr>
        <w:pStyle w:val="BodyTextIndent"/>
        <w:ind w:firstLine="0"/>
        <w:jc w:val="center"/>
        <w:rPr>
          <w:noProof/>
          <w:kern w:val="16"/>
          <w:lang w:eastAsia="en-GB"/>
        </w:rPr>
      </w:pPr>
      <w:r>
        <w:rPr>
          <w:noProof/>
          <w:kern w:val="16"/>
          <w:lang w:eastAsia="en-GB"/>
        </w:rPr>
        <w:t>Figure 11: BS heat loads seen by cryogenics.</w:t>
      </w:r>
    </w:p>
    <w:p w:rsidR="00F30042" w:rsidRDefault="00F30042" w:rsidP="00F30042">
      <w:pPr>
        <w:pStyle w:val="BodyTextIndent"/>
        <w:ind w:firstLine="0"/>
        <w:rPr>
          <w:noProof/>
          <w:kern w:val="16"/>
          <w:lang w:eastAsia="en-GB"/>
        </w:rPr>
      </w:pPr>
    </w:p>
    <w:p w:rsidR="00F67A2F" w:rsidRDefault="00F67A2F" w:rsidP="007125E6">
      <w:pPr>
        <w:pStyle w:val="BodyTextIndent"/>
        <w:rPr>
          <w:noProof/>
          <w:kern w:val="16"/>
          <w:lang w:eastAsia="en-GB"/>
        </w:rPr>
      </w:pPr>
      <w:r>
        <w:rPr>
          <w:noProof/>
          <w:kern w:val="16"/>
          <w:lang w:eastAsia="en-GB"/>
        </w:rPr>
        <w:t xml:space="preserve">It is important to mention that stable operational of the BS cooling loops during 2016 was a result </w:t>
      </w:r>
      <w:r w:rsidR="00453C6B">
        <w:rPr>
          <w:noProof/>
          <w:kern w:val="16"/>
          <w:lang w:eastAsia="en-GB"/>
        </w:rPr>
        <w:t>of multiple parameters. The main improvement applie</w:t>
      </w:r>
      <w:r w:rsidR="0067071B">
        <w:rPr>
          <w:noProof/>
          <w:kern w:val="16"/>
          <w:lang w:eastAsia="en-GB"/>
        </w:rPr>
        <w:t xml:space="preserve">d on </w:t>
      </w:r>
      <w:r w:rsidR="00453C6B">
        <w:rPr>
          <w:noProof/>
          <w:kern w:val="16"/>
          <w:lang w:eastAsia="en-GB"/>
        </w:rPr>
        <w:t xml:space="preserve">local </w:t>
      </w:r>
      <w:r>
        <w:rPr>
          <w:noProof/>
          <w:kern w:val="16"/>
          <w:lang w:eastAsia="en-GB"/>
        </w:rPr>
        <w:t xml:space="preserve">control system </w:t>
      </w:r>
      <w:r w:rsidR="00453C6B">
        <w:rPr>
          <w:noProof/>
          <w:kern w:val="16"/>
          <w:lang w:eastAsia="en-GB"/>
        </w:rPr>
        <w:t xml:space="preserve">was </w:t>
      </w:r>
      <w:r>
        <w:rPr>
          <w:noProof/>
          <w:kern w:val="16"/>
          <w:lang w:eastAsia="en-GB"/>
        </w:rPr>
        <w:t xml:space="preserve">fead-forward logic, </w:t>
      </w:r>
      <w:r w:rsidR="00453C6B">
        <w:rPr>
          <w:noProof/>
          <w:kern w:val="16"/>
          <w:lang w:eastAsia="en-GB"/>
        </w:rPr>
        <w:t>which could be tuned and adapte</w:t>
      </w:r>
      <w:r w:rsidR="00A22DF1">
        <w:rPr>
          <w:noProof/>
          <w:kern w:val="16"/>
          <w:lang w:eastAsia="en-GB"/>
        </w:rPr>
        <w:t>d</w:t>
      </w:r>
      <w:r w:rsidR="00453C6B">
        <w:rPr>
          <w:noProof/>
          <w:kern w:val="16"/>
          <w:lang w:eastAsia="en-GB"/>
        </w:rPr>
        <w:t xml:space="preserve"> for smooth operation. The second </w:t>
      </w:r>
      <w:r w:rsidR="0021142C">
        <w:rPr>
          <w:noProof/>
          <w:kern w:val="16"/>
          <w:lang w:eastAsia="en-GB"/>
        </w:rPr>
        <w:t>improvement was</w:t>
      </w:r>
      <w:r w:rsidR="00453C6B">
        <w:rPr>
          <w:noProof/>
          <w:kern w:val="16"/>
          <w:lang w:eastAsia="en-GB"/>
        </w:rPr>
        <w:t xml:space="preserve"> mentioned in above section</w:t>
      </w:r>
      <w:r w:rsidR="0021142C">
        <w:rPr>
          <w:noProof/>
          <w:kern w:val="16"/>
          <w:lang w:eastAsia="en-GB"/>
        </w:rPr>
        <w:t xml:space="preserve"> </w:t>
      </w:r>
      <w:r w:rsidR="00453C6B">
        <w:rPr>
          <w:noProof/>
          <w:kern w:val="16"/>
          <w:lang w:eastAsia="en-GB"/>
        </w:rPr>
        <w:t>optimization of global capacity o</w:t>
      </w:r>
      <w:r w:rsidR="0021142C">
        <w:rPr>
          <w:noProof/>
          <w:kern w:val="16"/>
          <w:lang w:eastAsia="en-GB"/>
        </w:rPr>
        <w:t>f</w:t>
      </w:r>
      <w:r w:rsidR="00453C6B">
        <w:rPr>
          <w:noProof/>
          <w:kern w:val="16"/>
          <w:lang w:eastAsia="en-GB"/>
        </w:rPr>
        <w:t xml:space="preserve"> the cryogenic plants suplying sectors 2-3 and 7-8. </w:t>
      </w:r>
      <w:r w:rsidR="0021142C">
        <w:rPr>
          <w:noProof/>
          <w:kern w:val="16"/>
          <w:lang w:eastAsia="en-GB"/>
        </w:rPr>
        <w:t xml:space="preserve">However, </w:t>
      </w:r>
      <w:r w:rsidR="00453C6B">
        <w:rPr>
          <w:noProof/>
          <w:kern w:val="16"/>
          <w:lang w:eastAsia="en-GB"/>
        </w:rPr>
        <w:t>stable operation was achieved also due to the fact that beam injection sc</w:t>
      </w:r>
      <w:r w:rsidR="0021142C">
        <w:rPr>
          <w:noProof/>
          <w:kern w:val="16"/>
          <w:lang w:eastAsia="en-GB"/>
        </w:rPr>
        <w:t xml:space="preserve">heme was limited to </w:t>
      </w:r>
      <w:r w:rsidR="0021142C">
        <w:rPr>
          <w:noProof/>
          <w:kern w:val="16"/>
          <w:lang w:eastAsia="en-GB"/>
        </w:rPr>
        <w:t>72 bunches/</w:t>
      </w:r>
      <w:r w:rsidR="00453C6B">
        <w:rPr>
          <w:noProof/>
          <w:kern w:val="16"/>
          <w:lang w:eastAsia="en-GB"/>
        </w:rPr>
        <w:t>train and injections with 144 or 28</w:t>
      </w:r>
      <w:r w:rsidR="0021142C">
        <w:rPr>
          <w:noProof/>
          <w:kern w:val="16"/>
          <w:lang w:eastAsia="en-GB"/>
        </w:rPr>
        <w:t xml:space="preserve">8 bunches/train did not took </w:t>
      </w:r>
      <w:r w:rsidR="00453C6B">
        <w:rPr>
          <w:noProof/>
          <w:kern w:val="16"/>
          <w:lang w:eastAsia="en-GB"/>
        </w:rPr>
        <w:t xml:space="preserve">place in 2016. </w:t>
      </w:r>
    </w:p>
    <w:p w:rsidR="00DF6E51" w:rsidRDefault="000E49F8" w:rsidP="00AD20EC">
      <w:pPr>
        <w:pStyle w:val="BodyTextIndent"/>
        <w:rPr>
          <w:noProof/>
          <w:kern w:val="16"/>
          <w:lang w:eastAsia="en-GB"/>
        </w:rPr>
      </w:pPr>
      <w:r>
        <w:rPr>
          <w:noProof/>
          <w:kern w:val="16"/>
          <w:lang w:eastAsia="en-GB"/>
        </w:rPr>
        <w:t xml:space="preserve">Fact of non homogenious distribution of the heat load </w:t>
      </w:r>
      <w:r w:rsidR="00F81DD1">
        <w:rPr>
          <w:noProof/>
          <w:kern w:val="16"/>
          <w:lang w:eastAsia="en-GB"/>
        </w:rPr>
        <w:t>over the sector</w:t>
      </w:r>
      <w:r w:rsidR="009D26D0">
        <w:rPr>
          <w:noProof/>
          <w:kern w:val="16"/>
          <w:lang w:eastAsia="en-GB"/>
        </w:rPr>
        <w:t>s</w:t>
      </w:r>
      <w:r w:rsidR="00AF3B65">
        <w:rPr>
          <w:noProof/>
          <w:kern w:val="16"/>
          <w:lang w:eastAsia="en-GB"/>
        </w:rPr>
        <w:t xml:space="preserve"> </w:t>
      </w:r>
      <w:r w:rsidR="00E72E7F">
        <w:rPr>
          <w:noProof/>
          <w:kern w:val="16"/>
          <w:lang w:eastAsia="en-GB"/>
        </w:rPr>
        <w:t xml:space="preserve">is </w:t>
      </w:r>
      <w:r w:rsidR="00AD20EC">
        <w:rPr>
          <w:noProof/>
          <w:kern w:val="16"/>
          <w:lang w:eastAsia="en-GB"/>
        </w:rPr>
        <w:t xml:space="preserve">still </w:t>
      </w:r>
      <w:r w:rsidR="00E72E7F">
        <w:rPr>
          <w:noProof/>
          <w:kern w:val="16"/>
          <w:lang w:eastAsia="en-GB"/>
        </w:rPr>
        <w:t>not understood</w:t>
      </w:r>
      <w:r w:rsidR="00AD20EC">
        <w:rPr>
          <w:noProof/>
          <w:kern w:val="16"/>
          <w:lang w:eastAsia="en-GB"/>
        </w:rPr>
        <w:t>.</w:t>
      </w:r>
      <w:r w:rsidR="00E72E7F">
        <w:rPr>
          <w:noProof/>
          <w:kern w:val="16"/>
          <w:lang w:eastAsia="en-GB"/>
        </w:rPr>
        <w:t xml:space="preserve"> </w:t>
      </w:r>
      <w:r w:rsidR="00AD20EC">
        <w:rPr>
          <w:noProof/>
          <w:kern w:val="16"/>
          <w:lang w:eastAsia="en-GB"/>
        </w:rPr>
        <w:t>Complete warm up of sector 1-2 can give more information on the ph</w:t>
      </w:r>
      <w:r w:rsidR="0021142C">
        <w:rPr>
          <w:noProof/>
          <w:kern w:val="16"/>
          <w:lang w:eastAsia="en-GB"/>
        </w:rPr>
        <w:t>enomenon</w:t>
      </w:r>
      <w:r w:rsidR="00AD20EC">
        <w:rPr>
          <w:noProof/>
          <w:kern w:val="16"/>
          <w:lang w:eastAsia="en-GB"/>
        </w:rPr>
        <w:t>.</w:t>
      </w:r>
    </w:p>
    <w:p w:rsidR="005B6494" w:rsidRDefault="00F30042" w:rsidP="005B6494">
      <w:pPr>
        <w:pStyle w:val="Heading2"/>
        <w:spacing w:before="180"/>
      </w:pPr>
      <w:r>
        <w:t>E</w:t>
      </w:r>
      <w:r w:rsidR="005B6494">
        <w:t xml:space="preserve">yets </w:t>
      </w:r>
      <w:r w:rsidR="0079527D">
        <w:t xml:space="preserve">preparation and </w:t>
      </w:r>
      <w:r w:rsidR="005B6494">
        <w:t>main activities</w:t>
      </w:r>
    </w:p>
    <w:p w:rsidR="005B6494" w:rsidRDefault="0079527D" w:rsidP="005B6494">
      <w:pPr>
        <w:pStyle w:val="BodyTextIndent"/>
      </w:pPr>
      <w:r>
        <w:t>All LHC LSSs and arcs will be emptied from liquid hel</w:t>
      </w:r>
      <w:r w:rsidR="00013E48">
        <w:t>ium and conditioned at about 30 </w:t>
      </w:r>
      <w:r>
        <w:t>K</w:t>
      </w:r>
      <w:r w:rsidR="00F30042">
        <w:t xml:space="preserve"> except of sector 1-2 which will be completely warmed up </w:t>
      </w:r>
      <w:r w:rsidR="00A55A92">
        <w:t>and conditioned for 31L2</w:t>
      </w:r>
      <w:r w:rsidR="00F30042">
        <w:t xml:space="preserve"> dipole replacement</w:t>
      </w:r>
      <w:r>
        <w:t xml:space="preserve">. </w:t>
      </w:r>
    </w:p>
    <w:p w:rsidR="005B6494" w:rsidRDefault="005B6494" w:rsidP="005B6494">
      <w:pPr>
        <w:pStyle w:val="BodyTextIndent"/>
      </w:pPr>
      <w:r>
        <w:t xml:space="preserve">During </w:t>
      </w:r>
      <w:r w:rsidR="00F30042">
        <w:t xml:space="preserve">extended </w:t>
      </w:r>
      <w:r w:rsidR="0079527D">
        <w:t xml:space="preserve">year end </w:t>
      </w:r>
      <w:r>
        <w:t>technical stop</w:t>
      </w:r>
      <w:r w:rsidR="0079527D">
        <w:t xml:space="preserve"> (</w:t>
      </w:r>
      <w:r w:rsidR="00F30042">
        <w:t>E</w:t>
      </w:r>
      <w:r w:rsidR="0079527D">
        <w:t>YETS)</w:t>
      </w:r>
      <w:r>
        <w:t xml:space="preserve"> the following main activities will be performed on the cryogenic system:</w:t>
      </w:r>
    </w:p>
    <w:p w:rsidR="005B6494" w:rsidRDefault="005B6494" w:rsidP="005B6494">
      <w:pPr>
        <w:pStyle w:val="BodyTextIndent"/>
        <w:numPr>
          <w:ilvl w:val="0"/>
          <w:numId w:val="18"/>
        </w:numPr>
      </w:pPr>
      <w:r>
        <w:t>P8 cold box repairs</w:t>
      </w:r>
      <w:r w:rsidR="00F30042">
        <w:t xml:space="preserve"> – replacement of AL/SS transition</w:t>
      </w:r>
    </w:p>
    <w:p w:rsidR="00F30042" w:rsidRDefault="00F30042" w:rsidP="005B6494">
      <w:pPr>
        <w:pStyle w:val="BodyTextIndent"/>
        <w:numPr>
          <w:ilvl w:val="0"/>
          <w:numId w:val="18"/>
        </w:numPr>
      </w:pPr>
      <w:r>
        <w:t>P4 and P6 exLEP plants – installation of additional coalescers for oil separation</w:t>
      </w:r>
    </w:p>
    <w:p w:rsidR="005B6494" w:rsidRDefault="0079527D" w:rsidP="005B6494">
      <w:pPr>
        <w:pStyle w:val="BodyTextIndent"/>
        <w:numPr>
          <w:ilvl w:val="0"/>
          <w:numId w:val="18"/>
        </w:numPr>
      </w:pPr>
      <w:r>
        <w:t>PLC</w:t>
      </w:r>
      <w:r w:rsidR="00F30042">
        <w:t>s</w:t>
      </w:r>
      <w:r>
        <w:t xml:space="preserve"> upgrade </w:t>
      </w:r>
      <w:r w:rsidR="00F30042">
        <w:t>– up to ~50% of all PLCs</w:t>
      </w:r>
    </w:p>
    <w:p w:rsidR="0079527D" w:rsidRDefault="0079527D" w:rsidP="005B6494">
      <w:pPr>
        <w:pStyle w:val="BodyTextIndent"/>
        <w:numPr>
          <w:ilvl w:val="0"/>
          <w:numId w:val="18"/>
        </w:numPr>
      </w:pPr>
      <w:r>
        <w:t xml:space="preserve">Replacement of charcoal </w:t>
      </w:r>
      <w:r w:rsidR="00F30042">
        <w:t>in 14 adsorbers</w:t>
      </w:r>
    </w:p>
    <w:p w:rsidR="00F30042" w:rsidRDefault="00F30042" w:rsidP="005B6494">
      <w:pPr>
        <w:pStyle w:val="BodyTextIndent"/>
        <w:numPr>
          <w:ilvl w:val="0"/>
          <w:numId w:val="18"/>
        </w:numPr>
      </w:pPr>
      <w:r>
        <w:t>Installation of RFL prototype valves controlling the turbines operation parameters</w:t>
      </w:r>
    </w:p>
    <w:p w:rsidR="0079527D" w:rsidRDefault="00F30042" w:rsidP="005B6494">
      <w:pPr>
        <w:pStyle w:val="BodyTextIndent"/>
        <w:numPr>
          <w:ilvl w:val="0"/>
          <w:numId w:val="18"/>
        </w:numPr>
      </w:pPr>
      <w:r>
        <w:t>Other planned updates of software, maintenance and repairs standard activities</w:t>
      </w:r>
      <w:r w:rsidR="0079527D">
        <w:t>.</w:t>
      </w:r>
    </w:p>
    <w:p w:rsidR="0079527D" w:rsidRDefault="0079527D" w:rsidP="0079527D">
      <w:pPr>
        <w:pStyle w:val="Heading2"/>
        <w:spacing w:before="180"/>
      </w:pPr>
      <w:r>
        <w:t>conclusions</w:t>
      </w:r>
    </w:p>
    <w:p w:rsidR="0079527D" w:rsidRPr="0079527D" w:rsidRDefault="00C90F2A" w:rsidP="0079527D">
      <w:pPr>
        <w:pStyle w:val="BodyTextIndent"/>
      </w:pPr>
      <w:r>
        <w:t xml:space="preserve">The LHC </w:t>
      </w:r>
      <w:r w:rsidR="0079527D">
        <w:t>Run2 (201</w:t>
      </w:r>
      <w:r w:rsidR="006B577E">
        <w:t>6</w:t>
      </w:r>
      <w:r w:rsidR="0079527D">
        <w:t xml:space="preserve">) is considered as a </w:t>
      </w:r>
      <w:r w:rsidR="006B577E">
        <w:t xml:space="preserve">very </w:t>
      </w:r>
      <w:r w:rsidR="0079527D">
        <w:t>successful year for cryogenics w</w:t>
      </w:r>
      <w:r w:rsidR="00013E48">
        <w:t>ith availability at 9</w:t>
      </w:r>
      <w:r w:rsidR="006B577E">
        <w:t>8</w:t>
      </w:r>
      <w:r w:rsidR="00013E48">
        <w:t>.</w:t>
      </w:r>
      <w:r w:rsidR="006B577E">
        <w:t>6</w:t>
      </w:r>
      <w:r w:rsidR="00013E48">
        <w:t xml:space="preserve"> %</w:t>
      </w:r>
      <w:r w:rsidR="00A44AB2">
        <w:t xml:space="preserve"> </w:t>
      </w:r>
      <w:r w:rsidR="00A44AB2">
        <w:rPr>
          <w:kern w:val="16"/>
        </w:rPr>
        <w:t>including only losses generated by cryogenics and to 94.4% including losses generated by users and supply</w:t>
      </w:r>
      <w:r w:rsidR="00013E48">
        <w:t>. New </w:t>
      </w:r>
      <w:r w:rsidR="0079527D">
        <w:t xml:space="preserve">applied configuration with </w:t>
      </w:r>
      <w:r w:rsidR="006B577E">
        <w:t>4</w:t>
      </w:r>
      <w:r w:rsidR="0079527D">
        <w:t xml:space="preserve"> cold p</w:t>
      </w:r>
      <w:r>
        <w:t>u</w:t>
      </w:r>
      <w:r w:rsidR="0079527D">
        <w:t>mping units</w:t>
      </w:r>
      <w:r>
        <w:t xml:space="preserve"> stopped was a good choice as </w:t>
      </w:r>
      <w:r w:rsidR="0079527D">
        <w:t xml:space="preserve">operation scenario. Declared failures could be </w:t>
      </w:r>
      <w:r w:rsidR="00013E48">
        <w:t>mitigated by reconfiguration of </w:t>
      </w:r>
      <w:r w:rsidR="0079527D">
        <w:t xml:space="preserve">the system or by repairs using available spare components. </w:t>
      </w:r>
      <w:r w:rsidR="006B577E">
        <w:t xml:space="preserve">Feed forward logic was optimized and </w:t>
      </w:r>
      <w:r w:rsidR="00845A0E">
        <w:t>successfully</w:t>
      </w:r>
      <w:r w:rsidR="006B577E">
        <w:t xml:space="preserve"> operated during the run. </w:t>
      </w:r>
      <w:r w:rsidR="00E843A3">
        <w:t xml:space="preserve">The </w:t>
      </w:r>
      <w:r w:rsidR="006B577E">
        <w:t xml:space="preserve">global </w:t>
      </w:r>
      <w:r w:rsidR="00E843A3">
        <w:t xml:space="preserve">cryogenic capacity </w:t>
      </w:r>
      <w:r w:rsidR="006B577E">
        <w:t xml:space="preserve">on sectors 2-3 and 7-8 were aligned with all other cryogenic plants at </w:t>
      </w:r>
      <w:r w:rsidR="00845A0E">
        <w:t>guaranteed</w:t>
      </w:r>
      <w:r w:rsidR="006B577E">
        <w:t xml:space="preserve"> operational values of 160 W/hc. </w:t>
      </w:r>
      <w:r w:rsidR="005200FD">
        <w:t>Warm up of s1-2 will give additional information to study BS heat load generation. Cryogenic group propose</w:t>
      </w:r>
      <w:r w:rsidR="001529AA">
        <w:t>s</w:t>
      </w:r>
      <w:r w:rsidR="005200FD">
        <w:t xml:space="preserve"> that Run2 (2017) is operated with the same scenario as 2016. The next operational challenge will be adaptation of the cryogenic capacity to cope with beam injection scheme of 144 and 288 bunches/train.</w:t>
      </w:r>
    </w:p>
    <w:p w:rsidR="007F558B" w:rsidRDefault="00C90F2A" w:rsidP="007F558B">
      <w:pPr>
        <w:pStyle w:val="Heading2"/>
      </w:pPr>
      <w:r>
        <w:t>a</w:t>
      </w:r>
      <w:r w:rsidR="007F558B">
        <w:t>cknowledgment</w:t>
      </w:r>
    </w:p>
    <w:p w:rsidR="007F558B" w:rsidRPr="00BC6316" w:rsidRDefault="00014BA1" w:rsidP="007F558B">
      <w:pPr>
        <w:pStyle w:val="BodyTextIndent"/>
      </w:pPr>
      <w:r>
        <w:t xml:space="preserve">Many thanks to </w:t>
      </w:r>
      <w:r w:rsidR="00FC3BD1">
        <w:t xml:space="preserve">all </w:t>
      </w:r>
      <w:r w:rsidR="00C90F2A">
        <w:t xml:space="preserve">members of the cryogenic operation and </w:t>
      </w:r>
      <w:r w:rsidR="00FC3BD1">
        <w:t xml:space="preserve">support </w:t>
      </w:r>
      <w:r w:rsidR="00892C27">
        <w:t xml:space="preserve">teams for </w:t>
      </w:r>
      <w:r w:rsidR="00C90F2A">
        <w:t>their engagement and professional approach in 201</w:t>
      </w:r>
      <w:r w:rsidR="005200FD">
        <w:t>6</w:t>
      </w:r>
      <w:r w:rsidR="00C90F2A">
        <w:t xml:space="preserve"> run. </w:t>
      </w:r>
    </w:p>
    <w:p w:rsidR="007F558B" w:rsidRDefault="007F558B" w:rsidP="007F558B">
      <w:pPr>
        <w:pStyle w:val="Heading2"/>
      </w:pPr>
      <w:r>
        <w:t>References</w:t>
      </w:r>
    </w:p>
    <w:p w:rsidR="007F558B" w:rsidRDefault="00FC3BD1" w:rsidP="007F558B">
      <w:pPr>
        <w:pStyle w:val="Reference"/>
        <w:rPr>
          <w:sz w:val="18"/>
          <w:szCs w:val="18"/>
        </w:rPr>
      </w:pPr>
      <w:r>
        <w:rPr>
          <w:sz w:val="18"/>
          <w:szCs w:val="18"/>
        </w:rPr>
        <w:t>[1]</w:t>
      </w:r>
      <w:r>
        <w:rPr>
          <w:sz w:val="18"/>
          <w:szCs w:val="18"/>
        </w:rPr>
        <w:tab/>
        <w:t>O</w:t>
      </w:r>
      <w:r w:rsidR="007F558B" w:rsidRPr="00351D48">
        <w:rPr>
          <w:sz w:val="18"/>
          <w:szCs w:val="18"/>
        </w:rPr>
        <w:t xml:space="preserve">. </w:t>
      </w:r>
      <w:r>
        <w:rPr>
          <w:sz w:val="18"/>
          <w:szCs w:val="18"/>
        </w:rPr>
        <w:t xml:space="preserve">Bruning et al., “LHC Design Report,” Geneva, 2004. </w:t>
      </w:r>
    </w:p>
    <w:p w:rsidR="00596A95" w:rsidRPr="00A44AB2" w:rsidRDefault="00FE76B3" w:rsidP="00A44AB2">
      <w:pPr>
        <w:pStyle w:val="Reference"/>
        <w:rPr>
          <w:sz w:val="18"/>
          <w:szCs w:val="18"/>
        </w:rPr>
      </w:pPr>
      <w:r>
        <w:rPr>
          <w:sz w:val="18"/>
          <w:szCs w:val="18"/>
        </w:rPr>
        <w:t>[2]</w:t>
      </w:r>
      <w:r>
        <w:rPr>
          <w:sz w:val="18"/>
          <w:szCs w:val="18"/>
        </w:rPr>
        <w:tab/>
        <w:t xml:space="preserve">K. Brodzinski et al. “LHC cryogenics – </w:t>
      </w:r>
      <w:r w:rsidR="005200FD">
        <w:rPr>
          <w:sz w:val="18"/>
          <w:szCs w:val="18"/>
        </w:rPr>
        <w:t>Run2 (2015) summary and perspectives</w:t>
      </w:r>
      <w:r>
        <w:rPr>
          <w:sz w:val="18"/>
          <w:szCs w:val="18"/>
        </w:rPr>
        <w:t>”, LHC Beam Operation Workshop – Evian 201</w:t>
      </w:r>
      <w:r w:rsidR="005200FD">
        <w:rPr>
          <w:sz w:val="18"/>
          <w:szCs w:val="18"/>
        </w:rPr>
        <w:t>5</w:t>
      </w:r>
      <w:r>
        <w:rPr>
          <w:sz w:val="18"/>
          <w:szCs w:val="18"/>
        </w:rPr>
        <w:t>.</w:t>
      </w:r>
    </w:p>
    <w:sectPr w:rsidR="00596A95" w:rsidRPr="00A44AB2" w:rsidSect="00FC3BD1">
      <w:footnotePr>
        <w:pos w:val="beneathText"/>
        <w:numFmt w:val="chicago"/>
      </w:footnotePr>
      <w:endnotePr>
        <w:numFmt w:val="decimal"/>
      </w:endnotePr>
      <w:type w:val="continuous"/>
      <w:pgSz w:w="11909" w:h="16834" w:code="9"/>
      <w:pgMar w:top="2102" w:right="1138" w:bottom="1080" w:left="1134" w:header="2102" w:footer="1080" w:gutter="0"/>
      <w:cols w:num="2"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0F42" w:rsidRDefault="00AF0F42"/>
  </w:endnote>
  <w:endnote w:type="continuationSeparator" w:id="0">
    <w:p w:rsidR="00AF0F42" w:rsidRDefault="00AF0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0F42" w:rsidRDefault="00AF0F42">
      <w:r>
        <w:separator/>
      </w:r>
    </w:p>
  </w:footnote>
  <w:footnote w:type="continuationSeparator" w:id="0">
    <w:p w:rsidR="00AF0F42" w:rsidRDefault="00AF0F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CEA7E3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6A4BAB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CBC7BE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0A2297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F04F82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72C11E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8B0C45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EFA3D9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96894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985E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5A12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1324CD7"/>
    <w:multiLevelType w:val="hybridMultilevel"/>
    <w:tmpl w:val="0C5A38BE"/>
    <w:lvl w:ilvl="0" w:tplc="6D8E591C">
      <w:start w:val="1"/>
      <w:numFmt w:val="bullet"/>
      <w:pStyle w:val="BulletedList"/>
      <w:lvlText w:val=""/>
      <w:lvlJc w:val="left"/>
      <w:pPr>
        <w:tabs>
          <w:tab w:val="num" w:pos="389"/>
        </w:tabs>
        <w:ind w:left="389" w:hanging="202"/>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2" w15:restartNumberingAfterBreak="0">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90F24AD"/>
    <w:multiLevelType w:val="hybridMultilevel"/>
    <w:tmpl w:val="9A6CB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D67C4C"/>
    <w:multiLevelType w:val="hybridMultilevel"/>
    <w:tmpl w:val="946C6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311FBF"/>
    <w:multiLevelType w:val="hybridMultilevel"/>
    <w:tmpl w:val="1EF4F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1427A8"/>
    <w:multiLevelType w:val="hybridMultilevel"/>
    <w:tmpl w:val="205E0C46"/>
    <w:lvl w:ilvl="0" w:tplc="4DE2586A">
      <w:start w:val="1"/>
      <w:numFmt w:val="decimal"/>
      <w:lvlText w:val="%1"/>
      <w:lvlJc w:val="left"/>
      <w:pPr>
        <w:tabs>
          <w:tab w:val="num" w:pos="360"/>
        </w:tabs>
        <w:ind w:left="360" w:hanging="360"/>
      </w:pPr>
      <w:rPr>
        <w:rFonts w:ascii="Times" w:hAnsi="Times" w:hint="default"/>
        <w:b/>
        <w:i w:val="0"/>
        <w:sz w:val="24"/>
      </w:rPr>
    </w:lvl>
    <w:lvl w:ilvl="1" w:tplc="3724E022">
      <w:numFmt w:val="none"/>
      <w:lvlText w:val=""/>
      <w:lvlJc w:val="left"/>
      <w:pPr>
        <w:tabs>
          <w:tab w:val="num" w:pos="360"/>
        </w:tabs>
      </w:pPr>
    </w:lvl>
    <w:lvl w:ilvl="2" w:tplc="3BA20238">
      <w:numFmt w:val="none"/>
      <w:lvlText w:val=""/>
      <w:lvlJc w:val="left"/>
      <w:pPr>
        <w:tabs>
          <w:tab w:val="num" w:pos="360"/>
        </w:tabs>
      </w:pPr>
    </w:lvl>
    <w:lvl w:ilvl="3" w:tplc="998E4A0A">
      <w:numFmt w:val="none"/>
      <w:lvlText w:val=""/>
      <w:lvlJc w:val="left"/>
      <w:pPr>
        <w:tabs>
          <w:tab w:val="num" w:pos="360"/>
        </w:tabs>
      </w:pPr>
    </w:lvl>
    <w:lvl w:ilvl="4" w:tplc="C4D83908">
      <w:numFmt w:val="none"/>
      <w:lvlText w:val=""/>
      <w:lvlJc w:val="left"/>
      <w:pPr>
        <w:tabs>
          <w:tab w:val="num" w:pos="360"/>
        </w:tabs>
      </w:pPr>
    </w:lvl>
    <w:lvl w:ilvl="5" w:tplc="78FE03DA">
      <w:numFmt w:val="none"/>
      <w:lvlText w:val=""/>
      <w:lvlJc w:val="left"/>
      <w:pPr>
        <w:tabs>
          <w:tab w:val="num" w:pos="360"/>
        </w:tabs>
      </w:pPr>
    </w:lvl>
    <w:lvl w:ilvl="6" w:tplc="24AAE1CA">
      <w:numFmt w:val="none"/>
      <w:lvlText w:val=""/>
      <w:lvlJc w:val="left"/>
      <w:pPr>
        <w:tabs>
          <w:tab w:val="num" w:pos="360"/>
        </w:tabs>
      </w:pPr>
    </w:lvl>
    <w:lvl w:ilvl="7" w:tplc="AC7C8E80">
      <w:numFmt w:val="none"/>
      <w:lvlText w:val=""/>
      <w:lvlJc w:val="left"/>
      <w:pPr>
        <w:tabs>
          <w:tab w:val="num" w:pos="360"/>
        </w:tabs>
      </w:pPr>
    </w:lvl>
    <w:lvl w:ilvl="8" w:tplc="5EA8CA18">
      <w:numFmt w:val="none"/>
      <w:lvlText w:val=""/>
      <w:lvlJc w:val="left"/>
      <w:pPr>
        <w:tabs>
          <w:tab w:val="num" w:pos="360"/>
        </w:tabs>
      </w:pPr>
    </w:lvl>
  </w:abstractNum>
  <w:abstractNum w:abstractNumId="17" w15:restartNumberingAfterBreak="0">
    <w:nsid w:val="67016AE4"/>
    <w:multiLevelType w:val="hybridMultilevel"/>
    <w:tmpl w:val="F82663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num w:numId="1">
    <w:abstractNumId w:val="16"/>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7"/>
  </w:num>
  <w:num w:numId="16">
    <w:abstractNumId w:val="15"/>
  </w:num>
  <w:num w:numId="17">
    <w:abstractNumId w:val="14"/>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29"/>
  <w:drawingGridVerticalSpacing w:val="187"/>
  <w:displayHorizontalDrawingGridEvery w:val="2"/>
  <w:displayVerticalDrawingGridEvery w:val="2"/>
  <w:noPunctuationKerning/>
  <w:characterSpacingControl w:val="doNotCompress"/>
  <w:footnotePr>
    <w:pos w:val="beneathText"/>
    <w:numFmt w:val="chicago"/>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B63"/>
    <w:rsid w:val="0000009D"/>
    <w:rsid w:val="00001289"/>
    <w:rsid w:val="00013ABB"/>
    <w:rsid w:val="00013E48"/>
    <w:rsid w:val="00014BA1"/>
    <w:rsid w:val="000419F2"/>
    <w:rsid w:val="00041AF3"/>
    <w:rsid w:val="00043A35"/>
    <w:rsid w:val="000449B1"/>
    <w:rsid w:val="00045646"/>
    <w:rsid w:val="00046422"/>
    <w:rsid w:val="00052CB4"/>
    <w:rsid w:val="00053FD3"/>
    <w:rsid w:val="00054436"/>
    <w:rsid w:val="00055D8E"/>
    <w:rsid w:val="00065956"/>
    <w:rsid w:val="000744D2"/>
    <w:rsid w:val="00074A20"/>
    <w:rsid w:val="00082315"/>
    <w:rsid w:val="0009652B"/>
    <w:rsid w:val="000A2A9A"/>
    <w:rsid w:val="000B228E"/>
    <w:rsid w:val="000B5379"/>
    <w:rsid w:val="000C1815"/>
    <w:rsid w:val="000C7710"/>
    <w:rsid w:val="000D0EE2"/>
    <w:rsid w:val="000E1BEA"/>
    <w:rsid w:val="000E28FD"/>
    <w:rsid w:val="000E49F8"/>
    <w:rsid w:val="000E57D6"/>
    <w:rsid w:val="000F3F19"/>
    <w:rsid w:val="00113984"/>
    <w:rsid w:val="00117BDB"/>
    <w:rsid w:val="00123AAF"/>
    <w:rsid w:val="0012465C"/>
    <w:rsid w:val="001306CA"/>
    <w:rsid w:val="0013098C"/>
    <w:rsid w:val="00130DAC"/>
    <w:rsid w:val="0014145F"/>
    <w:rsid w:val="00143535"/>
    <w:rsid w:val="001464BF"/>
    <w:rsid w:val="001529AA"/>
    <w:rsid w:val="0015344C"/>
    <w:rsid w:val="001540C3"/>
    <w:rsid w:val="001617B8"/>
    <w:rsid w:val="00161C55"/>
    <w:rsid w:val="00164FC3"/>
    <w:rsid w:val="00165665"/>
    <w:rsid w:val="00180AF3"/>
    <w:rsid w:val="001A04D8"/>
    <w:rsid w:val="001B5F3C"/>
    <w:rsid w:val="001B6A0E"/>
    <w:rsid w:val="001B72EA"/>
    <w:rsid w:val="001C2B6C"/>
    <w:rsid w:val="001C53C5"/>
    <w:rsid w:val="001C7A7D"/>
    <w:rsid w:val="001D018B"/>
    <w:rsid w:val="001D078E"/>
    <w:rsid w:val="001D6284"/>
    <w:rsid w:val="001E78D7"/>
    <w:rsid w:val="001E7DBB"/>
    <w:rsid w:val="001F1054"/>
    <w:rsid w:val="001F5A7D"/>
    <w:rsid w:val="0020728E"/>
    <w:rsid w:val="0021142C"/>
    <w:rsid w:val="00212236"/>
    <w:rsid w:val="00213A5B"/>
    <w:rsid w:val="00217306"/>
    <w:rsid w:val="002204B8"/>
    <w:rsid w:val="002314B0"/>
    <w:rsid w:val="00236213"/>
    <w:rsid w:val="002411FF"/>
    <w:rsid w:val="00243C3F"/>
    <w:rsid w:val="00244F81"/>
    <w:rsid w:val="00251EED"/>
    <w:rsid w:val="00255A10"/>
    <w:rsid w:val="00256197"/>
    <w:rsid w:val="00257126"/>
    <w:rsid w:val="002576AF"/>
    <w:rsid w:val="00263140"/>
    <w:rsid w:val="002654DB"/>
    <w:rsid w:val="0026730B"/>
    <w:rsid w:val="0027531B"/>
    <w:rsid w:val="002772E9"/>
    <w:rsid w:val="00286FDF"/>
    <w:rsid w:val="00287620"/>
    <w:rsid w:val="002A3436"/>
    <w:rsid w:val="002C0A5D"/>
    <w:rsid w:val="002C6318"/>
    <w:rsid w:val="002D03C3"/>
    <w:rsid w:val="002D2A47"/>
    <w:rsid w:val="002D4D8F"/>
    <w:rsid w:val="002D611B"/>
    <w:rsid w:val="002E0D53"/>
    <w:rsid w:val="002E50DF"/>
    <w:rsid w:val="002E5DC2"/>
    <w:rsid w:val="002F5C30"/>
    <w:rsid w:val="003003BA"/>
    <w:rsid w:val="003115A5"/>
    <w:rsid w:val="00313EDF"/>
    <w:rsid w:val="00317D9A"/>
    <w:rsid w:val="0032032C"/>
    <w:rsid w:val="00334178"/>
    <w:rsid w:val="00335EC5"/>
    <w:rsid w:val="003412C6"/>
    <w:rsid w:val="00345EC4"/>
    <w:rsid w:val="00350898"/>
    <w:rsid w:val="00351C62"/>
    <w:rsid w:val="00351D48"/>
    <w:rsid w:val="00362335"/>
    <w:rsid w:val="00370789"/>
    <w:rsid w:val="0037743E"/>
    <w:rsid w:val="00394F4B"/>
    <w:rsid w:val="003A007C"/>
    <w:rsid w:val="003A0FAD"/>
    <w:rsid w:val="003A4485"/>
    <w:rsid w:val="003A575A"/>
    <w:rsid w:val="003C2B35"/>
    <w:rsid w:val="003C52DD"/>
    <w:rsid w:val="003C6BD6"/>
    <w:rsid w:val="003D2FA0"/>
    <w:rsid w:val="003D6660"/>
    <w:rsid w:val="003D72B5"/>
    <w:rsid w:val="003E34CD"/>
    <w:rsid w:val="003E4017"/>
    <w:rsid w:val="003F1908"/>
    <w:rsid w:val="003F549F"/>
    <w:rsid w:val="003F5958"/>
    <w:rsid w:val="003F7FA6"/>
    <w:rsid w:val="00403816"/>
    <w:rsid w:val="00404AD2"/>
    <w:rsid w:val="00407F0D"/>
    <w:rsid w:val="004128D5"/>
    <w:rsid w:val="0041762D"/>
    <w:rsid w:val="0042209A"/>
    <w:rsid w:val="004249A2"/>
    <w:rsid w:val="00424CB0"/>
    <w:rsid w:val="0042767A"/>
    <w:rsid w:val="00453C6B"/>
    <w:rsid w:val="00454764"/>
    <w:rsid w:val="0045549E"/>
    <w:rsid w:val="0045631F"/>
    <w:rsid w:val="004565C9"/>
    <w:rsid w:val="00457574"/>
    <w:rsid w:val="00463256"/>
    <w:rsid w:val="00463B05"/>
    <w:rsid w:val="00472D96"/>
    <w:rsid w:val="00474A65"/>
    <w:rsid w:val="00474FC3"/>
    <w:rsid w:val="004759EE"/>
    <w:rsid w:val="0047737F"/>
    <w:rsid w:val="0048312E"/>
    <w:rsid w:val="0048647A"/>
    <w:rsid w:val="00491F17"/>
    <w:rsid w:val="0049346D"/>
    <w:rsid w:val="004977BA"/>
    <w:rsid w:val="004A1546"/>
    <w:rsid w:val="004A3C85"/>
    <w:rsid w:val="004A69F1"/>
    <w:rsid w:val="004C2C4B"/>
    <w:rsid w:val="004E5B8C"/>
    <w:rsid w:val="004E7A53"/>
    <w:rsid w:val="004F2A1D"/>
    <w:rsid w:val="00500A60"/>
    <w:rsid w:val="00506C77"/>
    <w:rsid w:val="005200FD"/>
    <w:rsid w:val="0052480B"/>
    <w:rsid w:val="005355BF"/>
    <w:rsid w:val="00536AA6"/>
    <w:rsid w:val="00547FB0"/>
    <w:rsid w:val="005620F8"/>
    <w:rsid w:val="005770FA"/>
    <w:rsid w:val="005779BE"/>
    <w:rsid w:val="00582B1B"/>
    <w:rsid w:val="00586266"/>
    <w:rsid w:val="005909C8"/>
    <w:rsid w:val="00590BDE"/>
    <w:rsid w:val="00591892"/>
    <w:rsid w:val="00591E32"/>
    <w:rsid w:val="00593518"/>
    <w:rsid w:val="00593D39"/>
    <w:rsid w:val="00596A95"/>
    <w:rsid w:val="005A2291"/>
    <w:rsid w:val="005B3402"/>
    <w:rsid w:val="005B46B5"/>
    <w:rsid w:val="005B552A"/>
    <w:rsid w:val="005B6494"/>
    <w:rsid w:val="005C11FB"/>
    <w:rsid w:val="005C5A88"/>
    <w:rsid w:val="005C76FE"/>
    <w:rsid w:val="005D49AC"/>
    <w:rsid w:val="005E24F7"/>
    <w:rsid w:val="005F6709"/>
    <w:rsid w:val="00612D87"/>
    <w:rsid w:val="006203EF"/>
    <w:rsid w:val="0063140B"/>
    <w:rsid w:val="0064089E"/>
    <w:rsid w:val="00643FF7"/>
    <w:rsid w:val="006560C3"/>
    <w:rsid w:val="00662C6C"/>
    <w:rsid w:val="0067071B"/>
    <w:rsid w:val="006773E4"/>
    <w:rsid w:val="00677D4B"/>
    <w:rsid w:val="006811B5"/>
    <w:rsid w:val="006845B5"/>
    <w:rsid w:val="006B086C"/>
    <w:rsid w:val="006B577E"/>
    <w:rsid w:val="006C58CD"/>
    <w:rsid w:val="006D6B42"/>
    <w:rsid w:val="006E3F05"/>
    <w:rsid w:val="006F051C"/>
    <w:rsid w:val="006F69A8"/>
    <w:rsid w:val="006F7E0C"/>
    <w:rsid w:val="00704E5F"/>
    <w:rsid w:val="00705910"/>
    <w:rsid w:val="00710611"/>
    <w:rsid w:val="007125E6"/>
    <w:rsid w:val="007327C3"/>
    <w:rsid w:val="00745AD4"/>
    <w:rsid w:val="00751AA0"/>
    <w:rsid w:val="00761218"/>
    <w:rsid w:val="00765890"/>
    <w:rsid w:val="007766EC"/>
    <w:rsid w:val="0079527D"/>
    <w:rsid w:val="007A0127"/>
    <w:rsid w:val="007A0BC2"/>
    <w:rsid w:val="007A1333"/>
    <w:rsid w:val="007A4751"/>
    <w:rsid w:val="007A7D16"/>
    <w:rsid w:val="007B1A5A"/>
    <w:rsid w:val="007C1E63"/>
    <w:rsid w:val="007C27AD"/>
    <w:rsid w:val="007D0BD9"/>
    <w:rsid w:val="007D1D1F"/>
    <w:rsid w:val="007D26DF"/>
    <w:rsid w:val="007D6104"/>
    <w:rsid w:val="007F0E02"/>
    <w:rsid w:val="007F22F9"/>
    <w:rsid w:val="007F29FF"/>
    <w:rsid w:val="007F325F"/>
    <w:rsid w:val="007F40CC"/>
    <w:rsid w:val="007F558B"/>
    <w:rsid w:val="007F79A3"/>
    <w:rsid w:val="00801CB2"/>
    <w:rsid w:val="008043A5"/>
    <w:rsid w:val="008119B6"/>
    <w:rsid w:val="008120D7"/>
    <w:rsid w:val="00814EEE"/>
    <w:rsid w:val="00815B81"/>
    <w:rsid w:val="00816D0B"/>
    <w:rsid w:val="00832F3C"/>
    <w:rsid w:val="00833241"/>
    <w:rsid w:val="00833B7A"/>
    <w:rsid w:val="008356DC"/>
    <w:rsid w:val="00844B1C"/>
    <w:rsid w:val="00845A0E"/>
    <w:rsid w:val="00853116"/>
    <w:rsid w:val="00864D4F"/>
    <w:rsid w:val="00875D2B"/>
    <w:rsid w:val="00876291"/>
    <w:rsid w:val="00877C96"/>
    <w:rsid w:val="0088303E"/>
    <w:rsid w:val="00892C27"/>
    <w:rsid w:val="008A01FD"/>
    <w:rsid w:val="008A0247"/>
    <w:rsid w:val="008A534A"/>
    <w:rsid w:val="008B10C8"/>
    <w:rsid w:val="008C48EF"/>
    <w:rsid w:val="008E65A0"/>
    <w:rsid w:val="008F0C40"/>
    <w:rsid w:val="008F2FCC"/>
    <w:rsid w:val="008F5E79"/>
    <w:rsid w:val="00904F5B"/>
    <w:rsid w:val="0090684E"/>
    <w:rsid w:val="00910D3A"/>
    <w:rsid w:val="00920017"/>
    <w:rsid w:val="00920885"/>
    <w:rsid w:val="00934EF6"/>
    <w:rsid w:val="00952323"/>
    <w:rsid w:val="0095482E"/>
    <w:rsid w:val="00963151"/>
    <w:rsid w:val="00967D7C"/>
    <w:rsid w:val="009706B8"/>
    <w:rsid w:val="00973EE7"/>
    <w:rsid w:val="00981C00"/>
    <w:rsid w:val="009866CF"/>
    <w:rsid w:val="009A1B1C"/>
    <w:rsid w:val="009B15A2"/>
    <w:rsid w:val="009C5D88"/>
    <w:rsid w:val="009D1438"/>
    <w:rsid w:val="009D26D0"/>
    <w:rsid w:val="009D3060"/>
    <w:rsid w:val="009D512B"/>
    <w:rsid w:val="009E24BD"/>
    <w:rsid w:val="009F0481"/>
    <w:rsid w:val="00A045D8"/>
    <w:rsid w:val="00A06B28"/>
    <w:rsid w:val="00A11ED7"/>
    <w:rsid w:val="00A22DF1"/>
    <w:rsid w:val="00A26363"/>
    <w:rsid w:val="00A35069"/>
    <w:rsid w:val="00A40057"/>
    <w:rsid w:val="00A40B17"/>
    <w:rsid w:val="00A44AB2"/>
    <w:rsid w:val="00A45AC9"/>
    <w:rsid w:val="00A53915"/>
    <w:rsid w:val="00A55A92"/>
    <w:rsid w:val="00A57374"/>
    <w:rsid w:val="00A62086"/>
    <w:rsid w:val="00A748B1"/>
    <w:rsid w:val="00A82F88"/>
    <w:rsid w:val="00AB1310"/>
    <w:rsid w:val="00AB2D00"/>
    <w:rsid w:val="00AC72F1"/>
    <w:rsid w:val="00AD20EC"/>
    <w:rsid w:val="00AD3CD2"/>
    <w:rsid w:val="00AD5520"/>
    <w:rsid w:val="00AD583B"/>
    <w:rsid w:val="00AD5BFE"/>
    <w:rsid w:val="00AF0F42"/>
    <w:rsid w:val="00AF3B65"/>
    <w:rsid w:val="00AF55B6"/>
    <w:rsid w:val="00B107B1"/>
    <w:rsid w:val="00B11AAF"/>
    <w:rsid w:val="00B216A3"/>
    <w:rsid w:val="00B21900"/>
    <w:rsid w:val="00B22803"/>
    <w:rsid w:val="00B2287B"/>
    <w:rsid w:val="00B229FB"/>
    <w:rsid w:val="00B37199"/>
    <w:rsid w:val="00B56FB9"/>
    <w:rsid w:val="00B67415"/>
    <w:rsid w:val="00B75D5E"/>
    <w:rsid w:val="00B94C4E"/>
    <w:rsid w:val="00B978DB"/>
    <w:rsid w:val="00BB440A"/>
    <w:rsid w:val="00BB5B63"/>
    <w:rsid w:val="00BB7F12"/>
    <w:rsid w:val="00BC515F"/>
    <w:rsid w:val="00BC6316"/>
    <w:rsid w:val="00BC6C9C"/>
    <w:rsid w:val="00BC6DC2"/>
    <w:rsid w:val="00BC75D9"/>
    <w:rsid w:val="00BD5BF3"/>
    <w:rsid w:val="00BD7E1D"/>
    <w:rsid w:val="00BE350F"/>
    <w:rsid w:val="00C02782"/>
    <w:rsid w:val="00C047C6"/>
    <w:rsid w:val="00C10D8A"/>
    <w:rsid w:val="00C12DA9"/>
    <w:rsid w:val="00C434C2"/>
    <w:rsid w:val="00C53798"/>
    <w:rsid w:val="00C558EC"/>
    <w:rsid w:val="00C6520E"/>
    <w:rsid w:val="00C71111"/>
    <w:rsid w:val="00C762A3"/>
    <w:rsid w:val="00C800FB"/>
    <w:rsid w:val="00C90F2A"/>
    <w:rsid w:val="00CA1EBF"/>
    <w:rsid w:val="00CA421B"/>
    <w:rsid w:val="00CB12A4"/>
    <w:rsid w:val="00CC5A4C"/>
    <w:rsid w:val="00CD15B7"/>
    <w:rsid w:val="00CD3695"/>
    <w:rsid w:val="00CD4672"/>
    <w:rsid w:val="00D05127"/>
    <w:rsid w:val="00D12093"/>
    <w:rsid w:val="00D14C6E"/>
    <w:rsid w:val="00D232A8"/>
    <w:rsid w:val="00D24D78"/>
    <w:rsid w:val="00D25717"/>
    <w:rsid w:val="00D263C1"/>
    <w:rsid w:val="00D463AF"/>
    <w:rsid w:val="00D532A2"/>
    <w:rsid w:val="00D533F7"/>
    <w:rsid w:val="00D550FB"/>
    <w:rsid w:val="00D62CD4"/>
    <w:rsid w:val="00D74023"/>
    <w:rsid w:val="00D76703"/>
    <w:rsid w:val="00D800B1"/>
    <w:rsid w:val="00D82719"/>
    <w:rsid w:val="00D91B03"/>
    <w:rsid w:val="00DB0E72"/>
    <w:rsid w:val="00DB1DB0"/>
    <w:rsid w:val="00DD6580"/>
    <w:rsid w:val="00DE7628"/>
    <w:rsid w:val="00DE79DC"/>
    <w:rsid w:val="00DF15FA"/>
    <w:rsid w:val="00DF6E51"/>
    <w:rsid w:val="00E00518"/>
    <w:rsid w:val="00E04F3C"/>
    <w:rsid w:val="00E1354A"/>
    <w:rsid w:val="00E214B3"/>
    <w:rsid w:val="00E24A96"/>
    <w:rsid w:val="00E25E86"/>
    <w:rsid w:val="00E36633"/>
    <w:rsid w:val="00E43C76"/>
    <w:rsid w:val="00E47E1F"/>
    <w:rsid w:val="00E54F9E"/>
    <w:rsid w:val="00E62E49"/>
    <w:rsid w:val="00E63975"/>
    <w:rsid w:val="00E6425C"/>
    <w:rsid w:val="00E721BF"/>
    <w:rsid w:val="00E72E7F"/>
    <w:rsid w:val="00E750D4"/>
    <w:rsid w:val="00E843A3"/>
    <w:rsid w:val="00E86D45"/>
    <w:rsid w:val="00E86E70"/>
    <w:rsid w:val="00E95220"/>
    <w:rsid w:val="00E9686D"/>
    <w:rsid w:val="00EB1E89"/>
    <w:rsid w:val="00EB4018"/>
    <w:rsid w:val="00EB7FA1"/>
    <w:rsid w:val="00EC530F"/>
    <w:rsid w:val="00EC5C83"/>
    <w:rsid w:val="00EC74E3"/>
    <w:rsid w:val="00EC7C7B"/>
    <w:rsid w:val="00ED7AD2"/>
    <w:rsid w:val="00EE0A91"/>
    <w:rsid w:val="00EE4291"/>
    <w:rsid w:val="00EF44CB"/>
    <w:rsid w:val="00EF46CE"/>
    <w:rsid w:val="00EF7578"/>
    <w:rsid w:val="00F01D28"/>
    <w:rsid w:val="00F02CBE"/>
    <w:rsid w:val="00F0733A"/>
    <w:rsid w:val="00F14D0F"/>
    <w:rsid w:val="00F16F05"/>
    <w:rsid w:val="00F172D2"/>
    <w:rsid w:val="00F2614A"/>
    <w:rsid w:val="00F30042"/>
    <w:rsid w:val="00F31936"/>
    <w:rsid w:val="00F402E7"/>
    <w:rsid w:val="00F423C8"/>
    <w:rsid w:val="00F4797F"/>
    <w:rsid w:val="00F54B0F"/>
    <w:rsid w:val="00F56307"/>
    <w:rsid w:val="00F56994"/>
    <w:rsid w:val="00F67A2F"/>
    <w:rsid w:val="00F81DD1"/>
    <w:rsid w:val="00F8257E"/>
    <w:rsid w:val="00F97419"/>
    <w:rsid w:val="00FA0F77"/>
    <w:rsid w:val="00FA33C2"/>
    <w:rsid w:val="00FA4B60"/>
    <w:rsid w:val="00FA7ACB"/>
    <w:rsid w:val="00FB14E8"/>
    <w:rsid w:val="00FB3752"/>
    <w:rsid w:val="00FC3BD1"/>
    <w:rsid w:val="00FC6A3D"/>
    <w:rsid w:val="00FD2424"/>
    <w:rsid w:val="00FD7A0F"/>
    <w:rsid w:val="00FE76B3"/>
    <w:rsid w:val="00FF0522"/>
    <w:rsid w:val="00FF1A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DEF5721-4915-4F34-94E3-6C9190131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0789"/>
    <w:pPr>
      <w:jc w:val="both"/>
    </w:pPr>
    <w:rPr>
      <w:rFonts w:ascii="Times" w:hAnsi="Times"/>
      <w:szCs w:val="24"/>
      <w:lang w:eastAsia="en-US"/>
    </w:rPr>
  </w:style>
  <w:style w:type="paragraph" w:styleId="Heading1">
    <w:name w:val="heading 1"/>
    <w:aliases w:val="Paper Title"/>
    <w:next w:val="AuthorList"/>
    <w:qFormat/>
    <w:rsid w:val="006C58CD"/>
    <w:pPr>
      <w:keepNext/>
      <w:spacing w:after="60"/>
      <w:jc w:val="center"/>
      <w:outlineLvl w:val="0"/>
    </w:pPr>
    <w:rPr>
      <w:rFonts w:cs="Arial"/>
      <w:b/>
      <w:bCs/>
      <w:caps/>
      <w:kern w:val="32"/>
      <w:sz w:val="28"/>
      <w:szCs w:val="32"/>
      <w:lang w:eastAsia="en-US"/>
    </w:rPr>
  </w:style>
  <w:style w:type="paragraph" w:styleId="Heading2">
    <w:name w:val="heading 2"/>
    <w:aliases w:val="Section Heading"/>
    <w:next w:val="BodyTextIndent"/>
    <w:qFormat/>
    <w:rsid w:val="006C58CD"/>
    <w:pPr>
      <w:keepNext/>
      <w:spacing w:before="240" w:after="60"/>
      <w:jc w:val="center"/>
      <w:outlineLvl w:val="1"/>
    </w:pPr>
    <w:rPr>
      <w:rFonts w:cs="Arial"/>
      <w:b/>
      <w:bCs/>
      <w:iCs/>
      <w:caps/>
      <w:kern w:val="16"/>
      <w:sz w:val="24"/>
      <w:szCs w:val="28"/>
      <w:lang w:eastAsia="en-US"/>
    </w:rPr>
  </w:style>
  <w:style w:type="paragraph" w:styleId="Heading3">
    <w:name w:val="heading 3"/>
    <w:aliases w:val="Subsection Heading"/>
    <w:next w:val="BodyTextIndent"/>
    <w:qFormat/>
    <w:rsid w:val="006C58CD"/>
    <w:pPr>
      <w:keepNext/>
      <w:spacing w:before="120" w:after="60"/>
      <w:outlineLvl w:val="2"/>
    </w:pPr>
    <w:rPr>
      <w:rFonts w:cs="Arial"/>
      <w:bCs/>
      <w:i/>
      <w:sz w:val="24"/>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link w:val="FootnoteTextChar"/>
    <w:rsid w:val="006C58CD"/>
    <w:rPr>
      <w:sz w:val="16"/>
      <w:lang w:eastAsia="en-US"/>
    </w:rPr>
  </w:style>
  <w:style w:type="paragraph" w:customStyle="1" w:styleId="AbstractTitle">
    <w:name w:val="Abstract Title"/>
    <w:next w:val="BodyTextIndent"/>
    <w:rsid w:val="002C6318"/>
    <w:rPr>
      <w:i/>
      <w:sz w:val="24"/>
      <w:szCs w:val="24"/>
      <w:lang w:eastAsia="en-US"/>
    </w:rPr>
  </w:style>
  <w:style w:type="paragraph" w:customStyle="1" w:styleId="AuthorList">
    <w:name w:val="Author List"/>
    <w:next w:val="AbstractTitle"/>
    <w:autoRedefine/>
    <w:rsid w:val="00DE79DC"/>
    <w:pPr>
      <w:spacing w:before="180" w:after="240"/>
      <w:jc w:val="center"/>
    </w:pPr>
    <w:rPr>
      <w:sz w:val="24"/>
      <w:szCs w:val="24"/>
      <w:lang w:eastAsia="en-US"/>
    </w:rPr>
  </w:style>
  <w:style w:type="paragraph" w:customStyle="1" w:styleId="FigureCaption">
    <w:name w:val="Figure Caption"/>
    <w:next w:val="BodyTextIndent"/>
    <w:rsid w:val="002C6318"/>
    <w:pPr>
      <w:spacing w:before="60" w:after="120"/>
      <w:jc w:val="center"/>
    </w:pPr>
    <w:rPr>
      <w:szCs w:val="24"/>
      <w:lang w:eastAsia="en-US"/>
    </w:rPr>
  </w:style>
  <w:style w:type="paragraph" w:customStyle="1" w:styleId="TableCaption">
    <w:name w:val="Table Caption"/>
    <w:next w:val="BodyTextIndent"/>
    <w:rsid w:val="006C58CD"/>
    <w:pPr>
      <w:spacing w:before="60" w:after="60"/>
      <w:jc w:val="center"/>
    </w:pPr>
    <w:rPr>
      <w:szCs w:val="24"/>
      <w:lang w:eastAsia="en-US"/>
    </w:rPr>
  </w:style>
  <w:style w:type="character" w:styleId="FootnoteReference">
    <w:name w:val="footnote reference"/>
    <w:rsid w:val="006C58CD"/>
    <w:rPr>
      <w:rFonts w:ascii="Times New Roman" w:hAnsi="Times New Roman"/>
      <w:sz w:val="20"/>
      <w:vertAlign w:val="superscript"/>
    </w:rPr>
  </w:style>
  <w:style w:type="paragraph" w:customStyle="1" w:styleId="Equation">
    <w:name w:val="Equation"/>
    <w:basedOn w:val="BodyTextNoIndent"/>
    <w:next w:val="BodyTextNoIndent"/>
    <w:autoRedefine/>
    <w:rsid w:val="00DE79DC"/>
    <w:pPr>
      <w:spacing w:before="240" w:after="240"/>
      <w:jc w:val="right"/>
    </w:pPr>
    <w:rPr>
      <w:kern w:val="16"/>
    </w:rPr>
  </w:style>
  <w:style w:type="paragraph" w:customStyle="1" w:styleId="Reference">
    <w:name w:val="Reference"/>
    <w:basedOn w:val="Normal"/>
    <w:link w:val="ReferenceChar"/>
    <w:qFormat/>
    <w:rsid w:val="00AD583B"/>
    <w:pPr>
      <w:tabs>
        <w:tab w:val="left" w:pos="360"/>
      </w:tabs>
      <w:ind w:left="360" w:hanging="360"/>
    </w:pPr>
  </w:style>
  <w:style w:type="paragraph" w:styleId="BodyTextIndent">
    <w:name w:val="Body Text Indent"/>
    <w:link w:val="BodyTextIndentChar"/>
    <w:rsid w:val="002C6318"/>
    <w:pPr>
      <w:ind w:firstLine="187"/>
      <w:jc w:val="both"/>
    </w:pPr>
    <w:rPr>
      <w:lang w:eastAsia="en-US"/>
    </w:rPr>
  </w:style>
  <w:style w:type="character" w:styleId="Hyperlink">
    <w:name w:val="Hyperlink"/>
    <w:rsid w:val="00370789"/>
    <w:rPr>
      <w:color w:val="0000FF"/>
      <w:u w:val="single"/>
    </w:rPr>
  </w:style>
  <w:style w:type="paragraph" w:customStyle="1" w:styleId="BulletedList">
    <w:name w:val="Bulleted List"/>
    <w:rsid w:val="003C52DD"/>
    <w:pPr>
      <w:numPr>
        <w:numId w:val="2"/>
      </w:numPr>
      <w:jc w:val="both"/>
    </w:pPr>
    <w:rPr>
      <w:szCs w:val="24"/>
      <w:lang w:eastAsia="en-US"/>
    </w:rPr>
  </w:style>
  <w:style w:type="character" w:customStyle="1" w:styleId="ReferenceChar">
    <w:name w:val="Reference Char"/>
    <w:link w:val="Reference"/>
    <w:rsid w:val="007F0E02"/>
    <w:rPr>
      <w:sz w:val="18"/>
      <w:szCs w:val="18"/>
      <w:lang w:val="en-GB"/>
    </w:rPr>
  </w:style>
  <w:style w:type="paragraph" w:styleId="Caption">
    <w:name w:val="caption"/>
    <w:basedOn w:val="Normal"/>
    <w:next w:val="Normal"/>
    <w:qFormat/>
    <w:rsid w:val="00370789"/>
    <w:pPr>
      <w:spacing w:before="120" w:after="120"/>
    </w:pPr>
    <w:rPr>
      <w:b/>
      <w:bCs/>
      <w:szCs w:val="20"/>
    </w:rPr>
  </w:style>
  <w:style w:type="paragraph" w:customStyle="1" w:styleId="BodyTextNoIndent">
    <w:name w:val="Body Text No Indent"/>
    <w:basedOn w:val="BodyTextIndent"/>
    <w:rsid w:val="002C6318"/>
    <w:pPr>
      <w:ind w:firstLine="0"/>
    </w:pPr>
  </w:style>
  <w:style w:type="paragraph" w:customStyle="1" w:styleId="FigureCaptionMultiLine">
    <w:name w:val="Figure Caption Multi Line"/>
    <w:basedOn w:val="FigureCaption"/>
    <w:next w:val="BodyTextIndent"/>
    <w:rsid w:val="006C58CD"/>
    <w:pPr>
      <w:jc w:val="both"/>
    </w:pPr>
    <w:rPr>
      <w:szCs w:val="20"/>
    </w:rPr>
  </w:style>
  <w:style w:type="paragraph" w:customStyle="1" w:styleId="TableCaptionMultiLine">
    <w:name w:val="Table Caption Multi Line"/>
    <w:basedOn w:val="TableCaption"/>
    <w:next w:val="BodyTextIndent"/>
    <w:rsid w:val="006C58CD"/>
    <w:pPr>
      <w:jc w:val="both"/>
    </w:pPr>
    <w:rPr>
      <w:szCs w:val="20"/>
    </w:rPr>
  </w:style>
  <w:style w:type="paragraph" w:styleId="BalloonText">
    <w:name w:val="Balloon Text"/>
    <w:basedOn w:val="Normal"/>
    <w:link w:val="BalloonTextChar"/>
    <w:uiPriority w:val="99"/>
    <w:semiHidden/>
    <w:unhideWhenUsed/>
    <w:rsid w:val="009B15A2"/>
    <w:rPr>
      <w:rFonts w:ascii="Tahoma" w:hAnsi="Tahoma" w:cs="Tahoma"/>
      <w:sz w:val="16"/>
      <w:szCs w:val="16"/>
    </w:rPr>
  </w:style>
  <w:style w:type="character" w:customStyle="1" w:styleId="BalloonTextChar">
    <w:name w:val="Balloon Text Char"/>
    <w:link w:val="BalloonText"/>
    <w:uiPriority w:val="99"/>
    <w:semiHidden/>
    <w:rsid w:val="009B15A2"/>
    <w:rPr>
      <w:rFonts w:ascii="Tahoma" w:hAnsi="Tahoma" w:cs="Tahoma"/>
      <w:sz w:val="16"/>
      <w:szCs w:val="16"/>
      <w:lang w:val="en-GB"/>
    </w:rPr>
  </w:style>
  <w:style w:type="character" w:styleId="CommentReference">
    <w:name w:val="annotation reference"/>
    <w:uiPriority w:val="99"/>
    <w:semiHidden/>
    <w:unhideWhenUsed/>
    <w:rsid w:val="00013ABB"/>
    <w:rPr>
      <w:sz w:val="16"/>
      <w:szCs w:val="16"/>
    </w:rPr>
  </w:style>
  <w:style w:type="paragraph" w:styleId="CommentText">
    <w:name w:val="annotation text"/>
    <w:basedOn w:val="Normal"/>
    <w:link w:val="CommentTextChar"/>
    <w:uiPriority w:val="99"/>
    <w:semiHidden/>
    <w:unhideWhenUsed/>
    <w:rsid w:val="00013ABB"/>
    <w:rPr>
      <w:szCs w:val="20"/>
    </w:rPr>
  </w:style>
  <w:style w:type="character" w:customStyle="1" w:styleId="CommentTextChar">
    <w:name w:val="Comment Text Char"/>
    <w:link w:val="CommentText"/>
    <w:uiPriority w:val="99"/>
    <w:semiHidden/>
    <w:rsid w:val="00013ABB"/>
    <w:rPr>
      <w:rFonts w:ascii="Times" w:hAnsi="Times"/>
      <w:lang w:val="en-GB"/>
    </w:rPr>
  </w:style>
  <w:style w:type="paragraph" w:styleId="CommentSubject">
    <w:name w:val="annotation subject"/>
    <w:basedOn w:val="CommentText"/>
    <w:next w:val="CommentText"/>
    <w:link w:val="CommentSubjectChar"/>
    <w:uiPriority w:val="99"/>
    <w:semiHidden/>
    <w:unhideWhenUsed/>
    <w:rsid w:val="00013ABB"/>
    <w:rPr>
      <w:b/>
      <w:bCs/>
    </w:rPr>
  </w:style>
  <w:style w:type="character" w:customStyle="1" w:styleId="CommentSubjectChar">
    <w:name w:val="Comment Subject Char"/>
    <w:link w:val="CommentSubject"/>
    <w:uiPriority w:val="99"/>
    <w:semiHidden/>
    <w:rsid w:val="00013ABB"/>
    <w:rPr>
      <w:rFonts w:ascii="Times" w:hAnsi="Times"/>
      <w:b/>
      <w:bCs/>
      <w:lang w:val="en-GB"/>
    </w:rPr>
  </w:style>
  <w:style w:type="character" w:customStyle="1" w:styleId="FootnoteTextChar">
    <w:name w:val="Footnote Text Char"/>
    <w:link w:val="FootnoteText"/>
    <w:rsid w:val="00AD3CD2"/>
    <w:rPr>
      <w:sz w:val="16"/>
      <w:lang w:val="en-GB"/>
    </w:rPr>
  </w:style>
  <w:style w:type="character" w:customStyle="1" w:styleId="BodyTextIndentChar">
    <w:name w:val="Body Text Indent Char"/>
    <w:link w:val="BodyTextIndent"/>
    <w:rsid w:val="00AD3CD2"/>
    <w:rPr>
      <w:lang w:val="en-GB"/>
    </w:rPr>
  </w:style>
  <w:style w:type="paragraph" w:styleId="NormalWeb">
    <w:name w:val="Normal (Web)"/>
    <w:basedOn w:val="Normal"/>
    <w:uiPriority w:val="99"/>
    <w:semiHidden/>
    <w:unhideWhenUsed/>
    <w:rsid w:val="003F5958"/>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444499">
      <w:bodyDiv w:val="1"/>
      <w:marLeft w:val="0"/>
      <w:marRight w:val="0"/>
      <w:marTop w:val="0"/>
      <w:marBottom w:val="0"/>
      <w:divBdr>
        <w:top w:val="none" w:sz="0" w:space="0" w:color="auto"/>
        <w:left w:val="none" w:sz="0" w:space="0" w:color="auto"/>
        <w:bottom w:val="none" w:sz="0" w:space="0" w:color="auto"/>
        <w:right w:val="none" w:sz="0" w:space="0" w:color="auto"/>
      </w:divBdr>
    </w:div>
    <w:div w:id="525404994">
      <w:bodyDiv w:val="1"/>
      <w:marLeft w:val="0"/>
      <w:marRight w:val="0"/>
      <w:marTop w:val="0"/>
      <w:marBottom w:val="0"/>
      <w:divBdr>
        <w:top w:val="none" w:sz="0" w:space="0" w:color="auto"/>
        <w:left w:val="none" w:sz="0" w:space="0" w:color="auto"/>
        <w:bottom w:val="none" w:sz="0" w:space="0" w:color="auto"/>
        <w:right w:val="none" w:sz="0" w:space="0" w:color="auto"/>
      </w:divBdr>
    </w:div>
    <w:div w:id="1364593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ern.ch\dfs\Workspaces\c\cryo\Acr-op\Users%20(Public)\Users%20CERN\Krzysztof\Conferences\Evian%202014\Paper\Evian%202014%20-%20Cryogenic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BEF8B8-E268-4D35-8E0A-156C5F5E8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Evian 2014 - Cryogenics</Template>
  <TotalTime>724</TotalTime>
  <Pages>4</Pages>
  <Words>1880</Words>
  <Characters>10012</Characters>
  <Application>Microsoft Office Word</Application>
  <DocSecurity>0</DocSecurity>
  <Lines>278</Lines>
  <Paragraphs>75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kbrodzin</dc:creator>
  <cp:lastModifiedBy>Krzysztof Brodzinski</cp:lastModifiedBy>
  <cp:revision>63</cp:revision>
  <cp:lastPrinted>2012-02-20T12:17:00Z</cp:lastPrinted>
  <dcterms:created xsi:type="dcterms:W3CDTF">2017-02-02T09:39:00Z</dcterms:created>
  <dcterms:modified xsi:type="dcterms:W3CDTF">2017-02-09T16:52:00Z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-615193747</vt:i4>
  </property>
  <property fmtid="{D5CDD505-2E9C-101B-9397-08002B2CF9AE}" pid="3" name="_EmailSubject">
    <vt:lpwstr>Word XP Templates</vt:lpwstr>
  </property>
  <property fmtid="{D5CDD505-2E9C-101B-9397-08002B2CF9AE}" pid="4" name="_AuthorEmail">
    <vt:lpwstr>s.a.webber@worldnet.att.net</vt:lpwstr>
  </property>
  <property fmtid="{D5CDD505-2E9C-101B-9397-08002B2CF9AE}" pid="5" name="_AuthorEmailDisplayName">
    <vt:lpwstr>Sara Webber</vt:lpwstr>
  </property>
  <property fmtid="{D5CDD505-2E9C-101B-9397-08002B2CF9AE}" pid="6" name="_ReviewingToolsShownOnce">
    <vt:lpwstr/>
  </property>
</Properties>
</file>