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67" w:rsidRDefault="006A5E67" w:rsidP="006A5E67">
      <w:pPr>
        <w:pStyle w:val="Heading1"/>
      </w:pPr>
      <w:r>
        <w:t xml:space="preserve">SYSTEMs performance: circuits </w:t>
      </w:r>
    </w:p>
    <w:p w:rsidR="00165665" w:rsidRPr="006A5E67" w:rsidRDefault="006A5E67" w:rsidP="00165665">
      <w:pPr>
        <w:pStyle w:val="AuthorList"/>
        <w:rPr>
          <w:kern w:val="16"/>
        </w:rPr>
        <w:sectPr w:rsidR="00165665" w:rsidRPr="006A5E67" w:rsidSect="007F325F">
          <w:footnotePr>
            <w:pos w:val="beneathText"/>
            <w:numFmt w:val="chicago"/>
          </w:footnotePr>
          <w:endnotePr>
            <w:numFmt w:val="decimal"/>
          </w:endnotePr>
          <w:type w:val="continuous"/>
          <w:pgSz w:w="11909" w:h="16834" w:code="9"/>
          <w:pgMar w:top="2102" w:right="1138" w:bottom="1080" w:left="1138" w:header="1080" w:footer="1080" w:gutter="0"/>
          <w:cols w:space="720"/>
          <w:titlePg/>
          <w:docGrid w:linePitch="360"/>
        </w:sectPr>
      </w:pPr>
      <w:r>
        <w:t xml:space="preserve">A. Antoine, M. Bednarek, Z. Charifoulline, G.J. Coelingh, G. D’Angelo, R. Denz, V. Montabonnet, J. Nielsen, D. Nisbet, B. Panev, F. Rodríguez Mateos, </w:t>
      </w:r>
      <w:r w:rsidRPr="007E2223">
        <w:rPr>
          <w:u w:val="single"/>
        </w:rPr>
        <w:t xml:space="preserve">I. Romera </w:t>
      </w:r>
      <w:r w:rsidRPr="00CF08BD">
        <w:t>Ramírez</w:t>
      </w:r>
      <w:r>
        <w:t xml:space="preserve">, </w:t>
      </w:r>
      <w:r w:rsidRPr="00CF08BD">
        <w:t>H</w:t>
      </w:r>
      <w:r>
        <w:t xml:space="preserve">. Thiesen, S. Uznanski, </w:t>
      </w:r>
      <w:r w:rsidRPr="00A35A31">
        <w:t>CERN, Geneva, Switzerland</w:t>
      </w:r>
    </w:p>
    <w:p w:rsidR="00165665" w:rsidRDefault="00165665" w:rsidP="00165665">
      <w:pPr>
        <w:pStyle w:val="AbstractTitle"/>
        <w:rPr>
          <w:kern w:val="16"/>
        </w:rPr>
      </w:pPr>
      <w:r>
        <w:rPr>
          <w:kern w:val="16"/>
        </w:rPr>
        <w:t>Abstract</w:t>
      </w:r>
    </w:p>
    <w:p w:rsidR="006A5E67" w:rsidRDefault="006A5E67" w:rsidP="006A5E67">
      <w:pPr>
        <w:pStyle w:val="BodyTextIndent"/>
        <w:rPr>
          <w:kern w:val="16"/>
        </w:rPr>
      </w:pPr>
      <w:r>
        <w:t>The performance of the LHC magnet circuits for the proton physics run in 2017 is evaluated. This contribution focuses on the availability of magnet powering (PC) and protection systems (QPS, EE, FMCM and Interlocks) and evaluates the impact of the new deployments, mainly the FGClite and RPADO power converters, on the overall performance of the machine. Finally, a comparison with 2016 availability is presented.</w:t>
      </w:r>
    </w:p>
    <w:p w:rsidR="006A5E67" w:rsidRDefault="006A5E67" w:rsidP="006A5E67">
      <w:pPr>
        <w:pStyle w:val="Heading2"/>
        <w:spacing w:before="180"/>
      </w:pPr>
      <w:r>
        <w:t>CIRCUITS aVAILABILITY</w:t>
      </w:r>
    </w:p>
    <w:p w:rsidR="006A5E67" w:rsidRDefault="006A5E67" w:rsidP="006A5E67">
      <w:pPr>
        <w:pStyle w:val="BodyTextIndent"/>
        <w:rPr>
          <w:kern w:val="16"/>
        </w:rPr>
      </w:pPr>
      <w:r>
        <w:rPr>
          <w:kern w:val="16"/>
        </w:rPr>
        <w:t xml:space="preserve">Operational statistics in 2017 show that 211 fills, out of a total of 762 fills, reached Stable Beams. About 20 % of the fills (i.e. 160 fills) were prematurely aborted by magnet powering and related protection systems, which contributed with 169.5 hours to the total downtime (out of a total of 800.7 hours). Figure 1 illustrates the distribution of fault duration in 2017 on the various root causes and provides a comparison with faults in 2016. Quench protection systems and power converters appear as one of the main contributors, while the impact on availability from magnet circuits and machine interlocks remains residual. </w:t>
      </w:r>
    </w:p>
    <w:p w:rsidR="006A5E67" w:rsidRDefault="006A5E67" w:rsidP="006A5E67">
      <w:pPr>
        <w:pStyle w:val="BodyTextIndent"/>
        <w:rPr>
          <w:kern w:val="16"/>
        </w:rPr>
      </w:pPr>
      <w:r>
        <w:rPr>
          <w:kern w:val="16"/>
        </w:rPr>
        <w:t xml:space="preserve">The increase on the power converter fault duration with respect to 2016 can be explained by an increment of the R2E suspected events in the RRs and several interventions on the RB.A12 power converter to fix a leak on the water-cooled busbars. The Quench Protection System was also penalized by lengthy interventions on the RQD.A12 Energy Extraction system and a main quadrupole acquisition system. The contribution from magnet circuits was drastically reduced as a lot of time was dedicated in 2016 to localise the inter-turn short in RB.A12. </w:t>
      </w:r>
    </w:p>
    <w:p w:rsidR="006A5E67" w:rsidRDefault="006A5E67" w:rsidP="006A5E67">
      <w:pPr>
        <w:pStyle w:val="Heading2"/>
        <w:spacing w:before="180"/>
      </w:pPr>
      <w:r>
        <w:t>POWER CONVERTERS</w:t>
      </w:r>
    </w:p>
    <w:p w:rsidR="00A011FF" w:rsidRPr="00A011FF" w:rsidRDefault="00A011FF" w:rsidP="00A011FF">
      <w:pPr>
        <w:pStyle w:val="BodyTextIndent"/>
      </w:pPr>
      <w:r>
        <w:t>Table 1 show</w:t>
      </w:r>
      <w:r w:rsidR="003C2980">
        <w:t xml:space="preserve">s the </w:t>
      </w:r>
      <w:r w:rsidR="00172375">
        <w:t>breakdown of the power converter</w:t>
      </w:r>
      <w:r w:rsidR="003C2980">
        <w:t xml:space="preserve"> faults </w:t>
      </w:r>
      <w:r w:rsidR="00172375">
        <w:t xml:space="preserve">classified </w:t>
      </w:r>
      <w:r w:rsidR="003C2980">
        <w:t>per circuit type. The main contributor</w:t>
      </w:r>
      <w:r w:rsidR="00C00D4F">
        <w:t>s to the availability</w:t>
      </w:r>
      <w:r w:rsidR="003C2980">
        <w:t xml:space="preserve"> are the 600A-10V, main dipole and 120A</w:t>
      </w:r>
      <w:r w:rsidR="00517E7E">
        <w:t xml:space="preserve"> converters</w:t>
      </w:r>
      <w:r w:rsidR="003C2980">
        <w:t xml:space="preserve"> which re</w:t>
      </w:r>
      <w:bookmarkStart w:id="0" w:name="_GoBack"/>
      <w:bookmarkEnd w:id="0"/>
      <w:r w:rsidR="003C2980">
        <w:t xml:space="preserve">present 75 % of the </w:t>
      </w:r>
      <w:r w:rsidR="00C00D4F">
        <w:t>fault time</w:t>
      </w:r>
      <w:r w:rsidR="003C2980">
        <w:t xml:space="preserve">. </w:t>
      </w:r>
      <w:r w:rsidR="004706E3">
        <w:t xml:space="preserve">The </w:t>
      </w:r>
      <w:r w:rsidR="00A809E8">
        <w:t>number of R2E events on the 120A and 600A PCs</w:t>
      </w:r>
      <w:r w:rsidR="004706E3">
        <w:t xml:space="preserve"> located in the RRs increased in 2017.</w:t>
      </w:r>
      <w:r w:rsidR="003C2980">
        <w:t xml:space="preserve">  </w:t>
      </w:r>
    </w:p>
    <w:p w:rsidR="006A5E67" w:rsidRDefault="006A5E67" w:rsidP="006A5E67">
      <w:pPr>
        <w:pStyle w:val="Heading3"/>
        <w:rPr>
          <w:kern w:val="16"/>
        </w:rPr>
      </w:pPr>
      <w:r>
        <w:rPr>
          <w:kern w:val="16"/>
        </w:rPr>
        <w:t>600A Power Converters</w:t>
      </w:r>
    </w:p>
    <w:p w:rsidR="00370773" w:rsidRPr="00370773" w:rsidRDefault="00370773" w:rsidP="00370773">
      <w:pPr>
        <w:pStyle w:val="BodyTextIndent"/>
      </w:pPr>
      <w:r>
        <w:t xml:space="preserve">The RPMBA/B – LHC600A-10V converters are the worst PC-type in terms of reliability as 10% of the power modules had to be replaced in 2017. 5 out of the 44 faults were allocated to R2E effects </w:t>
      </w:r>
      <w:r w:rsidR="000843C8">
        <w:t>as a consequence of the new TCL6 settings</w:t>
      </w:r>
      <w:r w:rsidR="00517E7E">
        <w:t xml:space="preserve"> </w:t>
      </w:r>
      <w:r w:rsidR="000843C8">
        <w:t>[1].</w:t>
      </w:r>
      <w:r w:rsidR="003E310F">
        <w:t xml:space="preserve"> The radiation-induced failures are expected to drop after LS2 thanks to the deployment of R2E-600A converters and FGClite controls in the RRs. During LS3</w:t>
      </w:r>
      <w:r w:rsidR="004E1F63">
        <w:t>,</w:t>
      </w:r>
      <w:r w:rsidR="003E310F">
        <w:t xml:space="preserve"> the 600A power converters in the UAs will </w:t>
      </w:r>
      <w:r w:rsidR="005C373E">
        <w:t xml:space="preserve">also </w:t>
      </w:r>
      <w:r w:rsidR="003E310F">
        <w:t xml:space="preserve">be replaced.  </w:t>
      </w:r>
    </w:p>
    <w:p w:rsidR="006A5E67" w:rsidRDefault="006A5E67" w:rsidP="006A5E67">
      <w:pPr>
        <w:pStyle w:val="Heading3"/>
        <w:rPr>
          <w:kern w:val="16"/>
        </w:rPr>
      </w:pPr>
      <w:r>
        <w:rPr>
          <w:kern w:val="16"/>
        </w:rPr>
        <w:t>Main dipole Power Converters</w:t>
      </w:r>
    </w:p>
    <w:p w:rsidR="00216159" w:rsidRDefault="00FB1A7D" w:rsidP="00216159">
      <w:pPr>
        <w:pStyle w:val="BodyTextIndent"/>
      </w:pPr>
      <w:r>
        <w:t>The main contributor to the fault time was a leak on the water-cooled busbars of the RB.A12 power converter</w:t>
      </w:r>
      <w:r w:rsidR="00F87E6B">
        <w:t xml:space="preserve"> [2]</w:t>
      </w:r>
      <w:r>
        <w:t>, which required 3 interventions and 20 h to be fixed. A consolidation of all busbars is envisaged in LS2.</w:t>
      </w:r>
    </w:p>
    <w:p w:rsidR="00FB1A7D" w:rsidRDefault="00FB1A7D" w:rsidP="00FB1A7D">
      <w:pPr>
        <w:pStyle w:val="Heading3"/>
        <w:rPr>
          <w:kern w:val="16"/>
        </w:rPr>
      </w:pPr>
      <w:r w:rsidRPr="00FB1A7D">
        <w:rPr>
          <w:kern w:val="16"/>
        </w:rPr>
        <w:t xml:space="preserve">120A Power Converters </w:t>
      </w:r>
    </w:p>
    <w:p w:rsidR="008227E0" w:rsidRPr="008227E0" w:rsidRDefault="008227E0" w:rsidP="008227E0">
      <w:pPr>
        <w:pStyle w:val="BodyTextIndent"/>
      </w:pPr>
      <w:r>
        <w:t xml:space="preserve">Faults were dominated by R2E effects (5 out of 8), which occurred in power converters located in </w:t>
      </w:r>
      <w:r w:rsidR="001F0FAE">
        <w:t>radiation exposed areas such as the RRs around IR1 and IR5.</w:t>
      </w:r>
      <w:r w:rsidR="004516D9">
        <w:t xml:space="preserve"> A consolidation campaign to deploy FGClite on the 120A power converters is planned during LS2.</w:t>
      </w:r>
    </w:p>
    <w:p w:rsidR="00EA631F" w:rsidRDefault="00EA631F" w:rsidP="00555839">
      <w:pPr>
        <w:pStyle w:val="BodyTextIndent"/>
      </w:pPr>
    </w:p>
    <w:p w:rsidR="00AF2001" w:rsidRDefault="00AF2001" w:rsidP="00555839">
      <w:pPr>
        <w:pStyle w:val="BodyTextIndent"/>
      </w:pPr>
    </w:p>
    <w:p w:rsidR="00AF2001" w:rsidRPr="00555839" w:rsidRDefault="00AF2001" w:rsidP="00555839">
      <w:pPr>
        <w:pStyle w:val="BodyTextIndent"/>
        <w:sectPr w:rsidR="00AF2001" w:rsidRPr="00555839" w:rsidSect="007F325F">
          <w:footnotePr>
            <w:pos w:val="beneathText"/>
            <w:numFmt w:val="chicago"/>
          </w:footnotePr>
          <w:endnotePr>
            <w:numFmt w:val="decimal"/>
          </w:endnotePr>
          <w:type w:val="continuous"/>
          <w:pgSz w:w="11909" w:h="16834" w:code="9"/>
          <w:pgMar w:top="2102" w:right="1138" w:bottom="1080" w:left="1134" w:header="2102" w:footer="1080" w:gutter="0"/>
          <w:cols w:num="2" w:space="288"/>
          <w:docGrid w:linePitch="360"/>
        </w:sectPr>
      </w:pPr>
    </w:p>
    <w:tbl>
      <w:tblPr>
        <w:tblW w:w="0" w:type="auto"/>
        <w:jc w:val="center"/>
        <w:tblLook w:val="04A0" w:firstRow="1" w:lastRow="0" w:firstColumn="1" w:lastColumn="0" w:noHBand="0" w:noVBand="1"/>
      </w:tblPr>
      <w:tblGrid>
        <w:gridCol w:w="9637"/>
      </w:tblGrid>
      <w:tr w:rsidR="00165665" w:rsidRPr="00E56880" w:rsidTr="006A5E67">
        <w:trPr>
          <w:jc w:val="center"/>
        </w:trPr>
        <w:tc>
          <w:tcPr>
            <w:tcW w:w="9853" w:type="dxa"/>
          </w:tcPr>
          <w:p w:rsidR="006A5E67" w:rsidRDefault="006A5E67" w:rsidP="006A5E67">
            <w:pPr>
              <w:jc w:val="center"/>
            </w:pPr>
            <w:r>
              <w:t>Table1: Power Converter fault</w:t>
            </w:r>
            <w:r w:rsidR="00F909E6">
              <w:t>s</w:t>
            </w:r>
            <w:r>
              <w:t xml:space="preserve"> per circuit type</w:t>
            </w:r>
          </w:p>
          <w:p w:rsidR="00F909E6" w:rsidRDefault="00F909E6" w:rsidP="006A5E67">
            <w:pPr>
              <w:jc w:val="center"/>
            </w:pPr>
          </w:p>
          <w:tbl>
            <w:tblPr>
              <w:tblW w:w="0" w:type="auto"/>
              <w:tblInd w:w="108" w:type="dxa"/>
              <w:tblBorders>
                <w:top w:val="single" w:sz="12" w:space="0" w:color="auto"/>
                <w:bottom w:val="single" w:sz="12" w:space="0" w:color="auto"/>
                <w:insideH w:val="single" w:sz="4" w:space="0" w:color="auto"/>
              </w:tblBorders>
              <w:tblLook w:val="0000" w:firstRow="0" w:lastRow="0" w:firstColumn="0" w:lastColumn="0" w:noHBand="0" w:noVBand="0"/>
            </w:tblPr>
            <w:tblGrid>
              <w:gridCol w:w="2472"/>
              <w:gridCol w:w="1777"/>
              <w:gridCol w:w="264"/>
              <w:gridCol w:w="1627"/>
              <w:gridCol w:w="239"/>
              <w:gridCol w:w="1068"/>
              <w:gridCol w:w="277"/>
              <w:gridCol w:w="1589"/>
            </w:tblGrid>
            <w:tr w:rsidR="006A5E67" w:rsidRPr="00E56880" w:rsidTr="00DF5B3F">
              <w:tc>
                <w:tcPr>
                  <w:tcW w:w="2502" w:type="dxa"/>
                  <w:tcBorders>
                    <w:top w:val="single" w:sz="12" w:space="0" w:color="auto"/>
                    <w:bottom w:val="single" w:sz="12" w:space="0" w:color="auto"/>
                  </w:tcBorders>
                </w:tcPr>
                <w:p w:rsidR="006A5E67" w:rsidRPr="003C52DD" w:rsidRDefault="006A5E67" w:rsidP="006A5E67">
                  <w:pPr>
                    <w:pStyle w:val="TableCaption"/>
                    <w:rPr>
                      <w:b/>
                      <w:bCs/>
                      <w:kern w:val="16"/>
                      <w:sz w:val="18"/>
                      <w:szCs w:val="18"/>
                    </w:rPr>
                  </w:pPr>
                  <w:r>
                    <w:rPr>
                      <w:b/>
                      <w:bCs/>
                      <w:kern w:val="16"/>
                      <w:sz w:val="18"/>
                      <w:szCs w:val="18"/>
                    </w:rPr>
                    <w:t>Classification</w:t>
                  </w:r>
                </w:p>
              </w:tc>
              <w:tc>
                <w:tcPr>
                  <w:tcW w:w="2070" w:type="dxa"/>
                  <w:gridSpan w:val="2"/>
                  <w:tcBorders>
                    <w:top w:val="single" w:sz="12" w:space="0" w:color="auto"/>
                    <w:bottom w:val="single" w:sz="12" w:space="0" w:color="auto"/>
                  </w:tcBorders>
                </w:tcPr>
                <w:p w:rsidR="006A5E67" w:rsidRPr="003C52DD" w:rsidRDefault="006A5E67" w:rsidP="006A5E67">
                  <w:pPr>
                    <w:pStyle w:val="TableCaption"/>
                    <w:rPr>
                      <w:b/>
                      <w:bCs/>
                      <w:kern w:val="16"/>
                      <w:sz w:val="18"/>
                      <w:szCs w:val="18"/>
                    </w:rPr>
                  </w:pPr>
                  <w:r>
                    <w:rPr>
                      <w:b/>
                      <w:bCs/>
                      <w:kern w:val="16"/>
                      <w:sz w:val="18"/>
                      <w:szCs w:val="18"/>
                    </w:rPr>
                    <w:t>Number of installed PC</w:t>
                  </w:r>
                </w:p>
              </w:tc>
              <w:tc>
                <w:tcPr>
                  <w:tcW w:w="1890" w:type="dxa"/>
                  <w:gridSpan w:val="2"/>
                  <w:tcBorders>
                    <w:top w:val="single" w:sz="12" w:space="0" w:color="auto"/>
                    <w:bottom w:val="single" w:sz="12" w:space="0" w:color="auto"/>
                  </w:tcBorders>
                </w:tcPr>
                <w:p w:rsidR="006A5E67" w:rsidRPr="003C52DD" w:rsidRDefault="006A5E67" w:rsidP="006A5E67">
                  <w:pPr>
                    <w:pStyle w:val="TableCaption"/>
                    <w:rPr>
                      <w:b/>
                      <w:bCs/>
                      <w:kern w:val="16"/>
                      <w:sz w:val="18"/>
                      <w:szCs w:val="18"/>
                    </w:rPr>
                  </w:pPr>
                  <w:r>
                    <w:rPr>
                      <w:b/>
                      <w:bCs/>
                      <w:kern w:val="16"/>
                      <w:sz w:val="18"/>
                      <w:szCs w:val="18"/>
                    </w:rPr>
                    <w:t>Number of faults</w:t>
                  </w:r>
                </w:p>
              </w:tc>
              <w:tc>
                <w:tcPr>
                  <w:tcW w:w="1080" w:type="dxa"/>
                  <w:tcBorders>
                    <w:top w:val="single" w:sz="12" w:space="0" w:color="auto"/>
                    <w:bottom w:val="single" w:sz="12" w:space="0" w:color="auto"/>
                  </w:tcBorders>
                </w:tcPr>
                <w:p w:rsidR="006A5E67" w:rsidRDefault="006A5E67" w:rsidP="006A5E67">
                  <w:pPr>
                    <w:pStyle w:val="TableCaption"/>
                  </w:pPr>
                  <w:r w:rsidRPr="00A16D51">
                    <w:rPr>
                      <w:b/>
                      <w:bCs/>
                      <w:kern w:val="16"/>
                      <w:sz w:val="18"/>
                      <w:szCs w:val="18"/>
                    </w:rPr>
                    <w:t>R2E</w:t>
                  </w:r>
                </w:p>
              </w:tc>
              <w:tc>
                <w:tcPr>
                  <w:tcW w:w="1890" w:type="dxa"/>
                  <w:gridSpan w:val="2"/>
                  <w:tcBorders>
                    <w:top w:val="single" w:sz="12" w:space="0" w:color="auto"/>
                    <w:bottom w:val="single" w:sz="12" w:space="0" w:color="auto"/>
                  </w:tcBorders>
                </w:tcPr>
                <w:p w:rsidR="006A5E67" w:rsidRDefault="006A5E67" w:rsidP="006A5E67">
                  <w:pPr>
                    <w:pStyle w:val="TableCaption"/>
                    <w:rPr>
                      <w:b/>
                      <w:bCs/>
                      <w:kern w:val="16"/>
                      <w:sz w:val="18"/>
                      <w:szCs w:val="18"/>
                    </w:rPr>
                  </w:pPr>
                  <w:r>
                    <w:rPr>
                      <w:b/>
                      <w:bCs/>
                      <w:kern w:val="16"/>
                      <w:sz w:val="18"/>
                      <w:szCs w:val="18"/>
                    </w:rPr>
                    <w:t>Fault duration (h)</w:t>
                  </w:r>
                </w:p>
              </w:tc>
            </w:tr>
            <w:tr w:rsidR="006A5E67" w:rsidRPr="00E56880" w:rsidTr="00DF5B3F">
              <w:trPr>
                <w:trHeight w:val="241"/>
              </w:trPr>
              <w:tc>
                <w:tcPr>
                  <w:tcW w:w="2502" w:type="dxa"/>
                  <w:tcBorders>
                    <w:top w:val="single" w:sz="12" w:space="0" w:color="auto"/>
                  </w:tcBorders>
                </w:tcPr>
                <w:p w:rsidR="006A5E67" w:rsidRPr="003C52DD" w:rsidRDefault="006A5E67" w:rsidP="006A5E67">
                  <w:pPr>
                    <w:pStyle w:val="TableCaption"/>
                    <w:rPr>
                      <w:kern w:val="16"/>
                      <w:sz w:val="18"/>
                      <w:szCs w:val="18"/>
                    </w:rPr>
                  </w:pPr>
                  <w:r w:rsidRPr="00A35A31">
                    <w:rPr>
                      <w:kern w:val="16"/>
                      <w:sz w:val="18"/>
                      <w:szCs w:val="18"/>
                    </w:rPr>
                    <w:t>RPMBA/B</w:t>
                  </w:r>
                  <w:r>
                    <w:rPr>
                      <w:kern w:val="16"/>
                      <w:sz w:val="18"/>
                      <w:szCs w:val="18"/>
                    </w:rPr>
                    <w:t xml:space="preserve"> </w:t>
                  </w:r>
                  <w:r w:rsidRPr="00A35A31">
                    <w:rPr>
                      <w:kern w:val="16"/>
                      <w:sz w:val="18"/>
                      <w:szCs w:val="18"/>
                    </w:rPr>
                    <w:t>-</w:t>
                  </w:r>
                  <w:r>
                    <w:rPr>
                      <w:kern w:val="16"/>
                      <w:sz w:val="18"/>
                      <w:szCs w:val="18"/>
                    </w:rPr>
                    <w:t xml:space="preserve"> </w:t>
                  </w:r>
                  <w:r w:rsidRPr="00A35A31">
                    <w:rPr>
                      <w:kern w:val="16"/>
                      <w:sz w:val="18"/>
                      <w:szCs w:val="18"/>
                    </w:rPr>
                    <w:t>LHC600A</w:t>
                  </w:r>
                  <w:r>
                    <w:rPr>
                      <w:kern w:val="16"/>
                      <w:sz w:val="18"/>
                      <w:szCs w:val="18"/>
                    </w:rPr>
                    <w:t xml:space="preserve"> - </w:t>
                  </w:r>
                  <w:r w:rsidRPr="00A35A31">
                    <w:rPr>
                      <w:kern w:val="16"/>
                      <w:sz w:val="18"/>
                      <w:szCs w:val="18"/>
                    </w:rPr>
                    <w:t>10V</w:t>
                  </w:r>
                </w:p>
              </w:tc>
              <w:tc>
                <w:tcPr>
                  <w:tcW w:w="1800" w:type="dxa"/>
                  <w:tcBorders>
                    <w:top w:val="single" w:sz="12" w:space="0" w:color="auto"/>
                  </w:tcBorders>
                </w:tcPr>
                <w:p w:rsidR="006A5E67" w:rsidRPr="003C52DD" w:rsidRDefault="006A5E67" w:rsidP="006A5E67">
                  <w:pPr>
                    <w:pStyle w:val="TableCaption"/>
                    <w:rPr>
                      <w:kern w:val="16"/>
                      <w:sz w:val="18"/>
                      <w:szCs w:val="18"/>
                    </w:rPr>
                  </w:pPr>
                  <w:r>
                    <w:rPr>
                      <w:kern w:val="16"/>
                      <w:sz w:val="18"/>
                      <w:szCs w:val="18"/>
                    </w:rPr>
                    <w:t>394</w:t>
                  </w:r>
                </w:p>
              </w:tc>
              <w:tc>
                <w:tcPr>
                  <w:tcW w:w="1917" w:type="dxa"/>
                  <w:gridSpan w:val="2"/>
                  <w:tcBorders>
                    <w:top w:val="single" w:sz="12" w:space="0" w:color="auto"/>
                  </w:tcBorders>
                </w:tcPr>
                <w:p w:rsidR="006A5E67" w:rsidRDefault="006A5E67" w:rsidP="006A5E67">
                  <w:pPr>
                    <w:jc w:val="center"/>
                  </w:pPr>
                  <w:r>
                    <w:t>44</w:t>
                  </w:r>
                </w:p>
              </w:tc>
              <w:tc>
                <w:tcPr>
                  <w:tcW w:w="1606" w:type="dxa"/>
                  <w:gridSpan w:val="3"/>
                  <w:tcBorders>
                    <w:top w:val="single" w:sz="12" w:space="0" w:color="auto"/>
                  </w:tcBorders>
                </w:tcPr>
                <w:p w:rsidR="006A5E67" w:rsidRPr="003C52DD" w:rsidRDefault="006A5E67" w:rsidP="006A5E67">
                  <w:pPr>
                    <w:pStyle w:val="TableCaption"/>
                    <w:rPr>
                      <w:kern w:val="16"/>
                      <w:sz w:val="18"/>
                      <w:szCs w:val="18"/>
                    </w:rPr>
                  </w:pPr>
                  <w:r>
                    <w:rPr>
                      <w:kern w:val="16"/>
                      <w:sz w:val="18"/>
                      <w:szCs w:val="18"/>
                    </w:rPr>
                    <w:t>5</w:t>
                  </w:r>
                </w:p>
              </w:tc>
              <w:tc>
                <w:tcPr>
                  <w:tcW w:w="1607" w:type="dxa"/>
                  <w:tcBorders>
                    <w:top w:val="single" w:sz="12" w:space="0" w:color="auto"/>
                  </w:tcBorders>
                </w:tcPr>
                <w:p w:rsidR="006A5E67" w:rsidRPr="003C52DD" w:rsidRDefault="006A5E67" w:rsidP="006A5E67">
                  <w:pPr>
                    <w:pStyle w:val="TableCaption"/>
                    <w:rPr>
                      <w:kern w:val="16"/>
                      <w:sz w:val="18"/>
                      <w:szCs w:val="18"/>
                    </w:rPr>
                  </w:pPr>
                  <w:r>
                    <w:rPr>
                      <w:kern w:val="16"/>
                      <w:sz w:val="18"/>
                      <w:szCs w:val="18"/>
                    </w:rPr>
                    <w:t>42.1</w:t>
                  </w:r>
                </w:p>
              </w:tc>
            </w:tr>
            <w:tr w:rsidR="006A5E67" w:rsidRPr="00E56880" w:rsidTr="00DF5B3F">
              <w:tc>
                <w:tcPr>
                  <w:tcW w:w="2502" w:type="dxa"/>
                </w:tcPr>
                <w:p w:rsidR="006A5E67" w:rsidRPr="003C52DD" w:rsidRDefault="006A5E67" w:rsidP="006A5E67">
                  <w:pPr>
                    <w:pStyle w:val="TableCaption"/>
                    <w:rPr>
                      <w:kern w:val="16"/>
                      <w:sz w:val="18"/>
                      <w:szCs w:val="18"/>
                    </w:rPr>
                  </w:pPr>
                  <w:r>
                    <w:rPr>
                      <w:kern w:val="16"/>
                      <w:sz w:val="18"/>
                      <w:szCs w:val="18"/>
                    </w:rPr>
                    <w:t>RPTE – Main dipole</w:t>
                  </w:r>
                </w:p>
              </w:tc>
              <w:tc>
                <w:tcPr>
                  <w:tcW w:w="1800" w:type="dxa"/>
                </w:tcPr>
                <w:p w:rsidR="006A5E67" w:rsidRPr="003C52DD" w:rsidRDefault="006A5E67" w:rsidP="006A5E67">
                  <w:pPr>
                    <w:pStyle w:val="TableCaption"/>
                    <w:rPr>
                      <w:kern w:val="16"/>
                      <w:sz w:val="18"/>
                      <w:szCs w:val="18"/>
                    </w:rPr>
                  </w:pPr>
                  <w:r>
                    <w:rPr>
                      <w:kern w:val="16"/>
                      <w:sz w:val="18"/>
                      <w:szCs w:val="18"/>
                    </w:rPr>
                    <w:t>8</w:t>
                  </w:r>
                </w:p>
              </w:tc>
              <w:tc>
                <w:tcPr>
                  <w:tcW w:w="1917" w:type="dxa"/>
                  <w:gridSpan w:val="2"/>
                </w:tcPr>
                <w:p w:rsidR="006A5E67" w:rsidRPr="007D7EB0" w:rsidRDefault="006A5E67" w:rsidP="006A5E67">
                  <w:pPr>
                    <w:pStyle w:val="TableCaption"/>
                    <w:rPr>
                      <w:kern w:val="16"/>
                      <w:sz w:val="18"/>
                      <w:szCs w:val="18"/>
                    </w:rPr>
                  </w:pPr>
                  <w:r>
                    <w:rPr>
                      <w:kern w:val="16"/>
                      <w:sz w:val="18"/>
                      <w:szCs w:val="18"/>
                    </w:rPr>
                    <w:t>7</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Default="006A5E67" w:rsidP="006A5E67">
                  <w:pPr>
                    <w:pStyle w:val="TableCaption"/>
                    <w:rPr>
                      <w:kern w:val="16"/>
                      <w:sz w:val="18"/>
                      <w:szCs w:val="18"/>
                    </w:rPr>
                  </w:pPr>
                  <w:r>
                    <w:rPr>
                      <w:kern w:val="16"/>
                      <w:sz w:val="18"/>
                      <w:szCs w:val="18"/>
                    </w:rPr>
                    <w:t>26</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RPLB - LHC120A</w:t>
                  </w:r>
                </w:p>
              </w:tc>
              <w:tc>
                <w:tcPr>
                  <w:tcW w:w="1800" w:type="dxa"/>
                </w:tcPr>
                <w:p w:rsidR="006A5E67" w:rsidRDefault="006A5E67" w:rsidP="006A5E67">
                  <w:pPr>
                    <w:pStyle w:val="TableCaption"/>
                    <w:rPr>
                      <w:kern w:val="16"/>
                      <w:sz w:val="18"/>
                      <w:szCs w:val="18"/>
                    </w:rPr>
                  </w:pPr>
                  <w:r>
                    <w:rPr>
                      <w:kern w:val="16"/>
                      <w:sz w:val="18"/>
                      <w:szCs w:val="18"/>
                    </w:rPr>
                    <w:t>291</w:t>
                  </w:r>
                </w:p>
              </w:tc>
              <w:tc>
                <w:tcPr>
                  <w:tcW w:w="1917" w:type="dxa"/>
                  <w:gridSpan w:val="2"/>
                </w:tcPr>
                <w:p w:rsidR="006A5E67" w:rsidRPr="007D7EB0" w:rsidRDefault="006A5E67" w:rsidP="006A5E67">
                  <w:pPr>
                    <w:pStyle w:val="TableCaption"/>
                    <w:rPr>
                      <w:kern w:val="16"/>
                      <w:sz w:val="18"/>
                      <w:szCs w:val="18"/>
                    </w:rPr>
                  </w:pPr>
                  <w:r>
                    <w:rPr>
                      <w:kern w:val="16"/>
                      <w:sz w:val="18"/>
                      <w:szCs w:val="18"/>
                    </w:rPr>
                    <w:t>8</w:t>
                  </w:r>
                </w:p>
              </w:tc>
              <w:tc>
                <w:tcPr>
                  <w:tcW w:w="1606" w:type="dxa"/>
                  <w:gridSpan w:val="3"/>
                </w:tcPr>
                <w:p w:rsidR="006A5E67" w:rsidRDefault="006A5E67" w:rsidP="006A5E67">
                  <w:pPr>
                    <w:pStyle w:val="TableCaption"/>
                    <w:rPr>
                      <w:kern w:val="16"/>
                      <w:sz w:val="18"/>
                      <w:szCs w:val="18"/>
                    </w:rPr>
                  </w:pPr>
                  <w:r>
                    <w:rPr>
                      <w:kern w:val="16"/>
                      <w:sz w:val="18"/>
                      <w:szCs w:val="18"/>
                    </w:rPr>
                    <w:t>5</w:t>
                  </w:r>
                </w:p>
              </w:tc>
              <w:tc>
                <w:tcPr>
                  <w:tcW w:w="1607" w:type="dxa"/>
                </w:tcPr>
                <w:p w:rsidR="006A5E67" w:rsidRDefault="006A5E67" w:rsidP="006A5E67">
                  <w:pPr>
                    <w:pStyle w:val="TableCaption"/>
                    <w:rPr>
                      <w:kern w:val="16"/>
                      <w:sz w:val="18"/>
                      <w:szCs w:val="18"/>
                    </w:rPr>
                  </w:pPr>
                  <w:r>
                    <w:rPr>
                      <w:kern w:val="16"/>
                      <w:sz w:val="18"/>
                      <w:szCs w:val="18"/>
                    </w:rPr>
                    <w:t>15.7</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RPHF/G/H – IPD, IPQ, IT</w:t>
                  </w:r>
                </w:p>
              </w:tc>
              <w:tc>
                <w:tcPr>
                  <w:tcW w:w="1800" w:type="dxa"/>
                </w:tcPr>
                <w:p w:rsidR="006A5E67" w:rsidRDefault="006A5E67" w:rsidP="006A5E67">
                  <w:pPr>
                    <w:pStyle w:val="TableCaption"/>
                    <w:rPr>
                      <w:kern w:val="16"/>
                      <w:sz w:val="18"/>
                      <w:szCs w:val="18"/>
                    </w:rPr>
                  </w:pPr>
                  <w:r>
                    <w:rPr>
                      <w:kern w:val="16"/>
                      <w:sz w:val="18"/>
                      <w:szCs w:val="18"/>
                    </w:rPr>
                    <w:t>188</w:t>
                  </w:r>
                </w:p>
              </w:tc>
              <w:tc>
                <w:tcPr>
                  <w:tcW w:w="1917" w:type="dxa"/>
                  <w:gridSpan w:val="2"/>
                </w:tcPr>
                <w:p w:rsidR="006A5E67" w:rsidRPr="007D7EB0" w:rsidRDefault="006A5E67" w:rsidP="006A5E67">
                  <w:pPr>
                    <w:pStyle w:val="TableCaption"/>
                    <w:rPr>
                      <w:kern w:val="16"/>
                      <w:sz w:val="18"/>
                      <w:szCs w:val="18"/>
                    </w:rPr>
                  </w:pPr>
                  <w:r>
                    <w:rPr>
                      <w:kern w:val="16"/>
                      <w:sz w:val="18"/>
                      <w:szCs w:val="18"/>
                    </w:rPr>
                    <w:t>6</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Pr="007D7EB0" w:rsidRDefault="006A5E67" w:rsidP="006A5E67">
                  <w:pPr>
                    <w:pStyle w:val="TableCaption"/>
                    <w:rPr>
                      <w:kern w:val="16"/>
                      <w:sz w:val="18"/>
                      <w:szCs w:val="18"/>
                    </w:rPr>
                  </w:pPr>
                  <w:r>
                    <w:rPr>
                      <w:kern w:val="16"/>
                      <w:sz w:val="18"/>
                      <w:szCs w:val="18"/>
                    </w:rPr>
                    <w:t>12</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SATURN_2s</w:t>
                  </w:r>
                </w:p>
              </w:tc>
              <w:tc>
                <w:tcPr>
                  <w:tcW w:w="1800" w:type="dxa"/>
                </w:tcPr>
                <w:p w:rsidR="006A5E67" w:rsidRDefault="006A5E67" w:rsidP="006A5E67">
                  <w:pPr>
                    <w:pStyle w:val="TableCaption"/>
                    <w:rPr>
                      <w:kern w:val="16"/>
                      <w:sz w:val="18"/>
                      <w:szCs w:val="18"/>
                    </w:rPr>
                  </w:pPr>
                  <w:r>
                    <w:rPr>
                      <w:kern w:val="16"/>
                      <w:sz w:val="18"/>
                      <w:szCs w:val="18"/>
                    </w:rPr>
                    <w:t>4</w:t>
                  </w:r>
                </w:p>
              </w:tc>
              <w:tc>
                <w:tcPr>
                  <w:tcW w:w="1917" w:type="dxa"/>
                  <w:gridSpan w:val="2"/>
                </w:tcPr>
                <w:p w:rsidR="006A5E67" w:rsidRDefault="006A5E67" w:rsidP="006A5E67">
                  <w:pPr>
                    <w:pStyle w:val="TableCaption"/>
                    <w:rPr>
                      <w:kern w:val="16"/>
                      <w:sz w:val="18"/>
                      <w:szCs w:val="18"/>
                    </w:rPr>
                  </w:pPr>
                  <w:r>
                    <w:rPr>
                      <w:kern w:val="16"/>
                      <w:sz w:val="18"/>
                      <w:szCs w:val="18"/>
                    </w:rPr>
                    <w:t>3</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Default="006A5E67" w:rsidP="006A5E67">
                  <w:pPr>
                    <w:pStyle w:val="TableCaption"/>
                    <w:rPr>
                      <w:kern w:val="16"/>
                      <w:sz w:val="18"/>
                      <w:szCs w:val="18"/>
                    </w:rPr>
                  </w:pPr>
                  <w:r>
                    <w:rPr>
                      <w:kern w:val="16"/>
                      <w:sz w:val="18"/>
                      <w:szCs w:val="18"/>
                    </w:rPr>
                    <w:t>8.9</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RPLA – LHC60A</w:t>
                  </w:r>
                </w:p>
              </w:tc>
              <w:tc>
                <w:tcPr>
                  <w:tcW w:w="1800" w:type="dxa"/>
                </w:tcPr>
                <w:p w:rsidR="006A5E67" w:rsidRDefault="006A5E67" w:rsidP="006A5E67">
                  <w:pPr>
                    <w:pStyle w:val="TableCaption"/>
                    <w:rPr>
                      <w:kern w:val="16"/>
                      <w:sz w:val="18"/>
                      <w:szCs w:val="18"/>
                    </w:rPr>
                  </w:pPr>
                  <w:r>
                    <w:rPr>
                      <w:kern w:val="16"/>
                      <w:sz w:val="18"/>
                      <w:szCs w:val="18"/>
                    </w:rPr>
                    <w:t>750</w:t>
                  </w:r>
                </w:p>
              </w:tc>
              <w:tc>
                <w:tcPr>
                  <w:tcW w:w="1917" w:type="dxa"/>
                  <w:gridSpan w:val="2"/>
                </w:tcPr>
                <w:p w:rsidR="006A5E67" w:rsidRDefault="006A5E67" w:rsidP="006A5E67">
                  <w:pPr>
                    <w:pStyle w:val="TableCaption"/>
                    <w:rPr>
                      <w:kern w:val="16"/>
                      <w:sz w:val="18"/>
                      <w:szCs w:val="18"/>
                    </w:rPr>
                  </w:pPr>
                  <w:r>
                    <w:rPr>
                      <w:kern w:val="16"/>
                      <w:sz w:val="18"/>
                      <w:szCs w:val="18"/>
                    </w:rPr>
                    <w:t>10</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Default="006A5E67" w:rsidP="006A5E67">
                  <w:pPr>
                    <w:pStyle w:val="TableCaption"/>
                    <w:rPr>
                      <w:kern w:val="16"/>
                      <w:sz w:val="18"/>
                      <w:szCs w:val="18"/>
                    </w:rPr>
                  </w:pPr>
                  <w:r>
                    <w:rPr>
                      <w:kern w:val="16"/>
                      <w:sz w:val="18"/>
                      <w:szCs w:val="18"/>
                    </w:rPr>
                    <w:t>5.3</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RPMC – LHC600A - 40V</w:t>
                  </w:r>
                </w:p>
              </w:tc>
              <w:tc>
                <w:tcPr>
                  <w:tcW w:w="1800" w:type="dxa"/>
                </w:tcPr>
                <w:p w:rsidR="006A5E67" w:rsidRDefault="006A5E67" w:rsidP="006A5E67">
                  <w:pPr>
                    <w:pStyle w:val="TableCaption"/>
                    <w:rPr>
                      <w:kern w:val="16"/>
                      <w:sz w:val="18"/>
                      <w:szCs w:val="18"/>
                    </w:rPr>
                  </w:pPr>
                  <w:r>
                    <w:rPr>
                      <w:kern w:val="16"/>
                      <w:sz w:val="18"/>
                      <w:szCs w:val="18"/>
                    </w:rPr>
                    <w:t>38</w:t>
                  </w:r>
                </w:p>
              </w:tc>
              <w:tc>
                <w:tcPr>
                  <w:tcW w:w="1917" w:type="dxa"/>
                  <w:gridSpan w:val="2"/>
                </w:tcPr>
                <w:p w:rsidR="006A5E67" w:rsidRDefault="006A5E67" w:rsidP="006A5E67">
                  <w:pPr>
                    <w:pStyle w:val="TableCaption"/>
                    <w:rPr>
                      <w:kern w:val="16"/>
                      <w:sz w:val="18"/>
                      <w:szCs w:val="18"/>
                    </w:rPr>
                  </w:pPr>
                  <w:r>
                    <w:rPr>
                      <w:kern w:val="16"/>
                      <w:sz w:val="18"/>
                      <w:szCs w:val="18"/>
                    </w:rPr>
                    <w:t>3</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Pr="007D7EB0" w:rsidRDefault="006A5E67" w:rsidP="006A5E67">
                  <w:pPr>
                    <w:pStyle w:val="TableCaption"/>
                    <w:rPr>
                      <w:kern w:val="16"/>
                      <w:sz w:val="18"/>
                      <w:szCs w:val="18"/>
                    </w:rPr>
                  </w:pPr>
                  <w:r>
                    <w:rPr>
                      <w:kern w:val="16"/>
                      <w:sz w:val="18"/>
                      <w:szCs w:val="18"/>
                    </w:rPr>
                    <w:t>0.3</w:t>
                  </w:r>
                </w:p>
              </w:tc>
            </w:tr>
            <w:tr w:rsidR="006A5E67" w:rsidRPr="00E56880" w:rsidTr="00DF5B3F">
              <w:tc>
                <w:tcPr>
                  <w:tcW w:w="2502" w:type="dxa"/>
                </w:tcPr>
                <w:p w:rsidR="006A5E67" w:rsidRDefault="006A5E67" w:rsidP="006A5E67">
                  <w:pPr>
                    <w:pStyle w:val="TableCaption"/>
                    <w:rPr>
                      <w:kern w:val="16"/>
                      <w:sz w:val="18"/>
                      <w:szCs w:val="18"/>
                    </w:rPr>
                  </w:pPr>
                  <w:r>
                    <w:rPr>
                      <w:kern w:val="16"/>
                      <w:sz w:val="18"/>
                      <w:szCs w:val="18"/>
                    </w:rPr>
                    <w:t>RPTF – Warm Quadrupole</w:t>
                  </w:r>
                </w:p>
              </w:tc>
              <w:tc>
                <w:tcPr>
                  <w:tcW w:w="1800" w:type="dxa"/>
                </w:tcPr>
                <w:p w:rsidR="006A5E67" w:rsidRDefault="006A5E67" w:rsidP="006A5E67">
                  <w:pPr>
                    <w:pStyle w:val="TableCaption"/>
                    <w:rPr>
                      <w:kern w:val="16"/>
                      <w:sz w:val="18"/>
                      <w:szCs w:val="18"/>
                    </w:rPr>
                  </w:pPr>
                  <w:r>
                    <w:rPr>
                      <w:kern w:val="16"/>
                      <w:sz w:val="18"/>
                      <w:szCs w:val="18"/>
                    </w:rPr>
                    <w:t>4</w:t>
                  </w:r>
                </w:p>
              </w:tc>
              <w:tc>
                <w:tcPr>
                  <w:tcW w:w="1917" w:type="dxa"/>
                  <w:gridSpan w:val="2"/>
                </w:tcPr>
                <w:p w:rsidR="006A5E67" w:rsidRDefault="006A5E67" w:rsidP="006A5E67">
                  <w:pPr>
                    <w:pStyle w:val="TableCaption"/>
                    <w:rPr>
                      <w:kern w:val="16"/>
                      <w:sz w:val="18"/>
                      <w:szCs w:val="18"/>
                    </w:rPr>
                  </w:pPr>
                  <w:r>
                    <w:rPr>
                      <w:kern w:val="16"/>
                      <w:sz w:val="18"/>
                      <w:szCs w:val="18"/>
                    </w:rPr>
                    <w:t>2</w:t>
                  </w:r>
                </w:p>
              </w:tc>
              <w:tc>
                <w:tcPr>
                  <w:tcW w:w="1606" w:type="dxa"/>
                  <w:gridSpan w:val="3"/>
                </w:tcPr>
                <w:p w:rsidR="006A5E67" w:rsidRDefault="006A5E67" w:rsidP="006A5E67">
                  <w:pPr>
                    <w:pStyle w:val="TableCaption"/>
                    <w:rPr>
                      <w:kern w:val="16"/>
                      <w:sz w:val="18"/>
                      <w:szCs w:val="18"/>
                    </w:rPr>
                  </w:pPr>
                  <w:r>
                    <w:rPr>
                      <w:kern w:val="16"/>
                      <w:sz w:val="18"/>
                      <w:szCs w:val="18"/>
                    </w:rPr>
                    <w:t>0</w:t>
                  </w:r>
                </w:p>
              </w:tc>
              <w:tc>
                <w:tcPr>
                  <w:tcW w:w="1607" w:type="dxa"/>
                </w:tcPr>
                <w:p w:rsidR="006A5E67" w:rsidRDefault="006A5E67" w:rsidP="006A5E67">
                  <w:pPr>
                    <w:pStyle w:val="TableCaption"/>
                    <w:rPr>
                      <w:kern w:val="16"/>
                      <w:sz w:val="18"/>
                      <w:szCs w:val="18"/>
                    </w:rPr>
                  </w:pPr>
                  <w:r>
                    <w:rPr>
                      <w:kern w:val="16"/>
                      <w:sz w:val="18"/>
                      <w:szCs w:val="18"/>
                    </w:rPr>
                    <w:t>2.7</w:t>
                  </w:r>
                </w:p>
              </w:tc>
            </w:tr>
            <w:tr w:rsidR="006A5E67" w:rsidRPr="00E56880" w:rsidTr="00DF5B3F">
              <w:tc>
                <w:tcPr>
                  <w:tcW w:w="2502" w:type="dxa"/>
                </w:tcPr>
                <w:p w:rsidR="006A5E67" w:rsidRPr="00B23969" w:rsidRDefault="006A5E67" w:rsidP="006A5E67">
                  <w:pPr>
                    <w:pStyle w:val="TableCaption"/>
                    <w:rPr>
                      <w:b/>
                      <w:kern w:val="16"/>
                      <w:sz w:val="18"/>
                      <w:szCs w:val="18"/>
                    </w:rPr>
                  </w:pPr>
                  <w:r w:rsidRPr="00B23969">
                    <w:rPr>
                      <w:b/>
                      <w:kern w:val="16"/>
                      <w:sz w:val="18"/>
                      <w:szCs w:val="18"/>
                    </w:rPr>
                    <w:t>∑</w:t>
                  </w:r>
                </w:p>
              </w:tc>
              <w:tc>
                <w:tcPr>
                  <w:tcW w:w="1800" w:type="dxa"/>
                </w:tcPr>
                <w:p w:rsidR="006A5E67" w:rsidRPr="00B23969" w:rsidRDefault="006A5E67" w:rsidP="006A5E67">
                  <w:pPr>
                    <w:pStyle w:val="TableCaption"/>
                    <w:rPr>
                      <w:b/>
                      <w:kern w:val="16"/>
                      <w:sz w:val="18"/>
                      <w:szCs w:val="18"/>
                    </w:rPr>
                  </w:pPr>
                  <w:r w:rsidRPr="00B23969">
                    <w:rPr>
                      <w:b/>
                      <w:kern w:val="16"/>
                      <w:sz w:val="18"/>
                      <w:szCs w:val="18"/>
                    </w:rPr>
                    <w:t>1677</w:t>
                  </w:r>
                </w:p>
              </w:tc>
              <w:tc>
                <w:tcPr>
                  <w:tcW w:w="1917" w:type="dxa"/>
                  <w:gridSpan w:val="2"/>
                </w:tcPr>
                <w:p w:rsidR="006A5E67" w:rsidRPr="00B23969" w:rsidRDefault="006A5E67" w:rsidP="006A5E67">
                  <w:pPr>
                    <w:pStyle w:val="TableCaption"/>
                    <w:rPr>
                      <w:kern w:val="16"/>
                      <w:sz w:val="18"/>
                      <w:szCs w:val="18"/>
                    </w:rPr>
                  </w:pPr>
                  <w:r w:rsidRPr="00B23969">
                    <w:rPr>
                      <w:kern w:val="16"/>
                      <w:sz w:val="18"/>
                      <w:szCs w:val="18"/>
                    </w:rPr>
                    <w:t>84</w:t>
                  </w:r>
                </w:p>
              </w:tc>
              <w:tc>
                <w:tcPr>
                  <w:tcW w:w="1606" w:type="dxa"/>
                  <w:gridSpan w:val="3"/>
                </w:tcPr>
                <w:p w:rsidR="006A5E67" w:rsidRPr="00B23969" w:rsidRDefault="006A5E67" w:rsidP="006A5E67">
                  <w:pPr>
                    <w:pStyle w:val="TableCaption"/>
                    <w:rPr>
                      <w:b/>
                      <w:kern w:val="16"/>
                      <w:sz w:val="18"/>
                      <w:szCs w:val="18"/>
                    </w:rPr>
                  </w:pPr>
                  <w:r w:rsidRPr="00B23969">
                    <w:rPr>
                      <w:b/>
                      <w:kern w:val="16"/>
                      <w:sz w:val="18"/>
                      <w:szCs w:val="18"/>
                    </w:rPr>
                    <w:t>10</w:t>
                  </w:r>
                </w:p>
              </w:tc>
              <w:tc>
                <w:tcPr>
                  <w:tcW w:w="1607" w:type="dxa"/>
                </w:tcPr>
                <w:p w:rsidR="006A5E67" w:rsidRPr="00B23969" w:rsidRDefault="006A5E67" w:rsidP="006A5E67">
                  <w:pPr>
                    <w:pStyle w:val="TableCaption"/>
                    <w:rPr>
                      <w:b/>
                      <w:kern w:val="16"/>
                      <w:sz w:val="18"/>
                      <w:szCs w:val="18"/>
                    </w:rPr>
                  </w:pPr>
                  <w:r w:rsidRPr="00B23969">
                    <w:rPr>
                      <w:b/>
                      <w:kern w:val="16"/>
                      <w:sz w:val="18"/>
                      <w:szCs w:val="18"/>
                    </w:rPr>
                    <w:t>113.7</w:t>
                  </w:r>
                </w:p>
              </w:tc>
            </w:tr>
          </w:tbl>
          <w:p w:rsidR="00165665" w:rsidRPr="002207D3" w:rsidRDefault="00165665" w:rsidP="00074A20">
            <w:pPr>
              <w:pStyle w:val="BodyTextIndent"/>
              <w:ind w:firstLine="0"/>
              <w:jc w:val="center"/>
              <w:rPr>
                <w:kern w:val="16"/>
              </w:rPr>
            </w:pPr>
          </w:p>
        </w:tc>
      </w:tr>
      <w:tr w:rsidR="00165665" w:rsidRPr="00E56880" w:rsidTr="006A5E67">
        <w:trPr>
          <w:jc w:val="center"/>
        </w:trPr>
        <w:tc>
          <w:tcPr>
            <w:tcW w:w="9853" w:type="dxa"/>
          </w:tcPr>
          <w:p w:rsidR="00165665" w:rsidRPr="002207D3" w:rsidRDefault="00165665" w:rsidP="00074A20">
            <w:pPr>
              <w:pStyle w:val="FigureCaptionMultiLine"/>
              <w:rPr>
                <w:kern w:val="16"/>
              </w:rPr>
            </w:pPr>
          </w:p>
        </w:tc>
      </w:tr>
      <w:tr w:rsidR="006A5E67" w:rsidRPr="00E56880" w:rsidTr="006A5E67">
        <w:trPr>
          <w:jc w:val="center"/>
        </w:trPr>
        <w:tc>
          <w:tcPr>
            <w:tcW w:w="9853" w:type="dxa"/>
          </w:tcPr>
          <w:p w:rsidR="006A5E67" w:rsidRPr="002207D3" w:rsidRDefault="006A5E67" w:rsidP="006A5E67">
            <w:pPr>
              <w:pStyle w:val="FigureCaptionMultiLine"/>
              <w:jc w:val="center"/>
              <w:rPr>
                <w:kern w:val="16"/>
              </w:rPr>
            </w:pPr>
            <w:r w:rsidRPr="006A5E67">
              <w:rPr>
                <w:noProof/>
                <w:kern w:val="16"/>
                <w:lang w:eastAsia="en-GB"/>
              </w:rPr>
              <w:drawing>
                <wp:inline distT="0" distB="0" distL="0" distR="0">
                  <wp:extent cx="5029200" cy="3124200"/>
                  <wp:effectExtent l="0" t="0" r="0" b="0"/>
                  <wp:docPr id="3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124200"/>
                          </a:xfrm>
                          <a:prstGeom prst="rect">
                            <a:avLst/>
                          </a:prstGeom>
                          <a:noFill/>
                          <a:ln>
                            <a:noFill/>
                          </a:ln>
                        </pic:spPr>
                      </pic:pic>
                    </a:graphicData>
                  </a:graphic>
                </wp:inline>
              </w:drawing>
            </w:r>
          </w:p>
        </w:tc>
      </w:tr>
      <w:tr w:rsidR="006A5E67" w:rsidRPr="00E56880" w:rsidTr="006A5E67">
        <w:trPr>
          <w:jc w:val="center"/>
        </w:trPr>
        <w:tc>
          <w:tcPr>
            <w:tcW w:w="9853" w:type="dxa"/>
          </w:tcPr>
          <w:p w:rsidR="00F909E6" w:rsidRDefault="00F909E6" w:rsidP="00F909E6">
            <w:pPr>
              <w:pStyle w:val="FigureCaptionMultiLine"/>
              <w:jc w:val="center"/>
              <w:rPr>
                <w:kern w:val="16"/>
              </w:rPr>
            </w:pPr>
            <w:r>
              <w:rPr>
                <w:kern w:val="16"/>
              </w:rPr>
              <w:t>Figure 1: Root cause duration per system as observed in 2017 vs 2016</w:t>
            </w:r>
          </w:p>
          <w:p w:rsidR="006A5E67" w:rsidRPr="002207D3" w:rsidRDefault="006A5E67" w:rsidP="00DF5B3F">
            <w:pPr>
              <w:pStyle w:val="FigureCaptionMultiLine"/>
              <w:rPr>
                <w:kern w:val="16"/>
              </w:rPr>
            </w:pPr>
          </w:p>
        </w:tc>
      </w:tr>
    </w:tbl>
    <w:p w:rsidR="00165665" w:rsidRDefault="00165665" w:rsidP="00165665">
      <w:pPr>
        <w:pStyle w:val="BodyTextIndent"/>
        <w:rPr>
          <w:kern w:val="16"/>
        </w:rPr>
        <w:sectPr w:rsidR="00165665" w:rsidSect="007F325F">
          <w:footnotePr>
            <w:pos w:val="beneathText"/>
            <w:numFmt w:val="chicago"/>
          </w:footnotePr>
          <w:endnotePr>
            <w:numFmt w:val="decimal"/>
          </w:endnotePr>
          <w:type w:val="continuous"/>
          <w:pgSz w:w="11909" w:h="16834" w:code="9"/>
          <w:pgMar w:top="2102" w:right="1138" w:bottom="1080" w:left="1134" w:header="2102" w:footer="1080" w:gutter="0"/>
          <w:cols w:space="288"/>
          <w:docGrid w:linePitch="360"/>
        </w:sectPr>
      </w:pPr>
    </w:p>
    <w:p w:rsidR="00AF2001" w:rsidRDefault="00AF2001" w:rsidP="00AF2001">
      <w:pPr>
        <w:pStyle w:val="Heading3"/>
        <w:rPr>
          <w:kern w:val="16"/>
        </w:rPr>
      </w:pPr>
      <w:r>
        <w:rPr>
          <w:kern w:val="16"/>
        </w:rPr>
        <w:t>SATURN Power Converters</w:t>
      </w:r>
    </w:p>
    <w:p w:rsidR="00AF2001" w:rsidRDefault="00AF2001" w:rsidP="00AF2001">
      <w:pPr>
        <w:pStyle w:val="BodyTextIndent"/>
        <w:rPr>
          <w:kern w:val="16"/>
        </w:rPr>
      </w:pPr>
      <w:r>
        <w:rPr>
          <w:kern w:val="16"/>
        </w:rPr>
        <w:t>Four new power converters powering the RD1.LR1/5 and RD34.LR3/7 were deployed during the YETS 2016-17 to mitigate electrical network disturbances coming from the 18 kV grid</w:t>
      </w:r>
      <w:r w:rsidR="00F87E6B">
        <w:rPr>
          <w:kern w:val="16"/>
        </w:rPr>
        <w:t xml:space="preserve"> [3]</w:t>
      </w:r>
      <w:r>
        <w:rPr>
          <w:kern w:val="16"/>
        </w:rPr>
        <w:t>. An early life failure was observed in one of the control chassis.</w:t>
      </w:r>
    </w:p>
    <w:p w:rsidR="00AF2001" w:rsidRDefault="00AF2001" w:rsidP="00AF2001">
      <w:pPr>
        <w:pStyle w:val="Heading3"/>
        <w:rPr>
          <w:kern w:val="16"/>
        </w:rPr>
      </w:pPr>
      <w:r>
        <w:rPr>
          <w:kern w:val="16"/>
        </w:rPr>
        <w:t>60A Power Converters</w:t>
      </w:r>
    </w:p>
    <w:p w:rsidR="00AF2001" w:rsidRDefault="00AF2001" w:rsidP="00AF2001">
      <w:pPr>
        <w:pStyle w:val="BodyTextIndent"/>
      </w:pPr>
      <w:r>
        <w:t xml:space="preserve">A few communication issues were </w:t>
      </w:r>
      <w:r w:rsidR="00587A5E">
        <w:t>identified</w:t>
      </w:r>
      <w:r>
        <w:t xml:space="preserve"> during the commissioning period following the deplo</w:t>
      </w:r>
      <w:r w:rsidR="00587A5E">
        <w:t xml:space="preserve">yment of the FGClite </w:t>
      </w:r>
      <w:r>
        <w:t>during the YETS 2016</w:t>
      </w:r>
      <w:r w:rsidR="00587A5E">
        <w:t>-17 and solved before starting the proton physics run.</w:t>
      </w:r>
    </w:p>
    <w:p w:rsidR="00F909E6" w:rsidRDefault="00F909E6" w:rsidP="00F909E6">
      <w:pPr>
        <w:pStyle w:val="Heading2"/>
      </w:pPr>
      <w:r>
        <w:t>QUENCH PROTECTION SYSTEM</w:t>
      </w:r>
    </w:p>
    <w:p w:rsidR="00283C76" w:rsidRDefault="00283C76" w:rsidP="00283C76">
      <w:pPr>
        <w:pStyle w:val="BodyTextIndent"/>
      </w:pPr>
      <w:r>
        <w:t xml:space="preserve">A total of 55 faults had their root cause in one of the more than 4000 QPS electronics boards deployed in the LHC. The fault duration was dominated by 3 long </w:t>
      </w:r>
      <w:r w:rsidR="005633F4">
        <w:t>interventions on</w:t>
      </w:r>
      <w:r>
        <w:t xml:space="preserve"> the RQD.A12 Energy Extraction system </w:t>
      </w:r>
      <w:r>
        <w:t>(14 h)</w:t>
      </w:r>
      <w:r>
        <w:t xml:space="preserve"> and </w:t>
      </w:r>
      <w:r>
        <w:t xml:space="preserve">on </w:t>
      </w:r>
      <w:r>
        <w:t>MQ8.L7 to replace a faulty DQAMC board (8h).</w:t>
      </w:r>
    </w:p>
    <w:p w:rsidR="00283C76" w:rsidRPr="00283C76" w:rsidRDefault="00283C76" w:rsidP="00283C76">
      <w:pPr>
        <w:pStyle w:val="BodyTextIndent"/>
      </w:pPr>
      <w:r>
        <w:t>The consolidation efforts have very efficiently mitigated the R2E effects and only 1 SEU affecting the QPS electronics for the RB circuits caused a dump. Non-blocking SEUs were reset in the shadow of operation</w:t>
      </w:r>
      <w:r w:rsidR="005633F4">
        <w:t>s</w:t>
      </w:r>
      <w:r>
        <w:t xml:space="preserve">. </w:t>
      </w:r>
      <w:r w:rsidR="005633F4">
        <w:t xml:space="preserve">Several trips of the QDSIPQ electronics were observed following electrical perturbations during thunderstorms, which used to be in the shadow of FMCMs before consolidation of the RD1 and RD34 power converters. </w:t>
      </w:r>
    </w:p>
    <w:p w:rsidR="00F909E6" w:rsidRDefault="00F909E6" w:rsidP="00F909E6">
      <w:pPr>
        <w:pStyle w:val="BodyTextIndent"/>
        <w:jc w:val="center"/>
        <w:rPr>
          <w:kern w:val="16"/>
        </w:rPr>
      </w:pPr>
    </w:p>
    <w:p w:rsidR="00517E7E" w:rsidRDefault="00517E7E" w:rsidP="00F909E6">
      <w:pPr>
        <w:pStyle w:val="BodyTextIndent"/>
        <w:jc w:val="center"/>
        <w:rPr>
          <w:kern w:val="16"/>
        </w:rPr>
      </w:pPr>
    </w:p>
    <w:p w:rsidR="00F909E6" w:rsidRDefault="00F909E6" w:rsidP="00F909E6">
      <w:pPr>
        <w:pStyle w:val="BodyTextIndent"/>
        <w:jc w:val="center"/>
        <w:rPr>
          <w:kern w:val="16"/>
        </w:rPr>
      </w:pPr>
      <w:r>
        <w:rPr>
          <w:kern w:val="16"/>
        </w:rPr>
        <w:t>Table 2: Classification of QPS faults per type</w:t>
      </w:r>
    </w:p>
    <w:p w:rsidR="00F909E6" w:rsidRDefault="00F909E6" w:rsidP="00F909E6">
      <w:pPr>
        <w:pStyle w:val="BodyTextIndent"/>
        <w:rPr>
          <w:kern w:val="16"/>
        </w:rPr>
      </w:pPr>
    </w:p>
    <w:tbl>
      <w:tblPr>
        <w:tblW w:w="0" w:type="auto"/>
        <w:jc w:val="center"/>
        <w:tblBorders>
          <w:top w:val="single" w:sz="12" w:space="0" w:color="auto"/>
          <w:bottom w:val="single" w:sz="12" w:space="0" w:color="auto"/>
          <w:insideH w:val="single" w:sz="4" w:space="0" w:color="auto"/>
        </w:tblBorders>
        <w:tblLook w:val="0000" w:firstRow="0" w:lastRow="0" w:firstColumn="0" w:lastColumn="0" w:noHBand="0" w:noVBand="0"/>
      </w:tblPr>
      <w:tblGrid>
        <w:gridCol w:w="1257"/>
        <w:gridCol w:w="924"/>
        <w:gridCol w:w="799"/>
        <w:gridCol w:w="557"/>
        <w:gridCol w:w="1137"/>
      </w:tblGrid>
      <w:tr w:rsidR="00F909E6" w:rsidTr="00DF5B3F">
        <w:trPr>
          <w:jc w:val="center"/>
        </w:trPr>
        <w:tc>
          <w:tcPr>
            <w:tcW w:w="1257" w:type="dxa"/>
            <w:tcBorders>
              <w:top w:val="single" w:sz="12" w:space="0" w:color="auto"/>
              <w:bottom w:val="single" w:sz="12" w:space="0" w:color="auto"/>
            </w:tcBorders>
            <w:vAlign w:val="center"/>
          </w:tcPr>
          <w:p w:rsidR="00F909E6" w:rsidRPr="003C52DD" w:rsidRDefault="00F909E6" w:rsidP="00DF5B3F">
            <w:pPr>
              <w:pStyle w:val="TableCaption"/>
              <w:rPr>
                <w:b/>
                <w:bCs/>
                <w:kern w:val="16"/>
                <w:sz w:val="18"/>
                <w:szCs w:val="18"/>
              </w:rPr>
            </w:pPr>
            <w:r>
              <w:rPr>
                <w:b/>
                <w:bCs/>
                <w:kern w:val="16"/>
                <w:sz w:val="18"/>
                <w:szCs w:val="18"/>
              </w:rPr>
              <w:t>Classification</w:t>
            </w:r>
          </w:p>
        </w:tc>
        <w:tc>
          <w:tcPr>
            <w:tcW w:w="976" w:type="dxa"/>
            <w:tcBorders>
              <w:top w:val="single" w:sz="12" w:space="0" w:color="auto"/>
              <w:bottom w:val="single" w:sz="12" w:space="0" w:color="auto"/>
            </w:tcBorders>
            <w:vAlign w:val="center"/>
          </w:tcPr>
          <w:p w:rsidR="00F909E6" w:rsidRPr="003C52DD" w:rsidRDefault="00F909E6" w:rsidP="00DF5B3F">
            <w:pPr>
              <w:pStyle w:val="TableCaption"/>
              <w:rPr>
                <w:b/>
                <w:bCs/>
                <w:kern w:val="16"/>
                <w:sz w:val="18"/>
                <w:szCs w:val="18"/>
              </w:rPr>
            </w:pPr>
            <w:r>
              <w:rPr>
                <w:b/>
                <w:bCs/>
                <w:kern w:val="16"/>
                <w:sz w:val="18"/>
                <w:szCs w:val="18"/>
              </w:rPr>
              <w:t>Units</w:t>
            </w:r>
          </w:p>
        </w:tc>
        <w:tc>
          <w:tcPr>
            <w:tcW w:w="821" w:type="dxa"/>
            <w:tcBorders>
              <w:top w:val="single" w:sz="12" w:space="0" w:color="auto"/>
              <w:bottom w:val="single" w:sz="12" w:space="0" w:color="auto"/>
            </w:tcBorders>
            <w:vAlign w:val="center"/>
          </w:tcPr>
          <w:p w:rsidR="00F909E6" w:rsidRPr="00EF6B3B" w:rsidRDefault="00F909E6" w:rsidP="00DF5B3F">
            <w:pPr>
              <w:pStyle w:val="TableCaption"/>
              <w:rPr>
                <w:b/>
                <w:bCs/>
                <w:kern w:val="16"/>
                <w:sz w:val="18"/>
                <w:szCs w:val="18"/>
              </w:rPr>
            </w:pPr>
            <w:r>
              <w:rPr>
                <w:b/>
                <w:bCs/>
                <w:kern w:val="16"/>
                <w:sz w:val="18"/>
                <w:szCs w:val="18"/>
              </w:rPr>
              <w:t>Faults</w:t>
            </w:r>
          </w:p>
        </w:tc>
        <w:tc>
          <w:tcPr>
            <w:tcW w:w="557" w:type="dxa"/>
            <w:tcBorders>
              <w:top w:val="single" w:sz="12" w:space="0" w:color="auto"/>
              <w:bottom w:val="single" w:sz="12" w:space="0" w:color="auto"/>
            </w:tcBorders>
          </w:tcPr>
          <w:p w:rsidR="00F909E6" w:rsidRDefault="00F909E6" w:rsidP="00DF5B3F">
            <w:pPr>
              <w:pStyle w:val="TableCaption"/>
              <w:rPr>
                <w:b/>
                <w:bCs/>
                <w:kern w:val="16"/>
                <w:sz w:val="18"/>
                <w:szCs w:val="18"/>
              </w:rPr>
            </w:pPr>
            <w:r>
              <w:rPr>
                <w:b/>
                <w:bCs/>
                <w:kern w:val="16"/>
                <w:sz w:val="18"/>
                <w:szCs w:val="18"/>
              </w:rPr>
              <w:t>R2E</w:t>
            </w:r>
          </w:p>
        </w:tc>
        <w:tc>
          <w:tcPr>
            <w:tcW w:w="1137" w:type="dxa"/>
            <w:tcBorders>
              <w:top w:val="single" w:sz="12" w:space="0" w:color="auto"/>
              <w:bottom w:val="single" w:sz="12" w:space="0" w:color="auto"/>
            </w:tcBorders>
            <w:vAlign w:val="center"/>
          </w:tcPr>
          <w:p w:rsidR="00F909E6" w:rsidRPr="003C52DD" w:rsidRDefault="00F909E6" w:rsidP="00DF5B3F">
            <w:pPr>
              <w:pStyle w:val="TableCaption"/>
              <w:rPr>
                <w:b/>
                <w:bCs/>
                <w:kern w:val="16"/>
                <w:sz w:val="18"/>
                <w:szCs w:val="18"/>
              </w:rPr>
            </w:pPr>
            <w:r>
              <w:rPr>
                <w:b/>
                <w:bCs/>
                <w:kern w:val="16"/>
                <w:sz w:val="18"/>
                <w:szCs w:val="18"/>
              </w:rPr>
              <w:t>Duration(h)</w:t>
            </w:r>
          </w:p>
        </w:tc>
      </w:tr>
      <w:tr w:rsidR="00F909E6" w:rsidTr="00DF5B3F">
        <w:trPr>
          <w:trHeight w:val="241"/>
          <w:jc w:val="center"/>
        </w:trPr>
        <w:tc>
          <w:tcPr>
            <w:tcW w:w="1257" w:type="dxa"/>
            <w:tcBorders>
              <w:top w:val="single" w:sz="12" w:space="0" w:color="auto"/>
            </w:tcBorders>
          </w:tcPr>
          <w:p w:rsidR="00F909E6" w:rsidRPr="003C52DD" w:rsidRDefault="00F909E6" w:rsidP="00DF5B3F">
            <w:pPr>
              <w:pStyle w:val="TableCaption"/>
              <w:rPr>
                <w:kern w:val="16"/>
                <w:sz w:val="18"/>
                <w:szCs w:val="18"/>
              </w:rPr>
            </w:pPr>
            <w:r>
              <w:rPr>
                <w:kern w:val="16"/>
                <w:sz w:val="18"/>
                <w:szCs w:val="18"/>
              </w:rPr>
              <w:t>QPSRB</w:t>
            </w:r>
          </w:p>
        </w:tc>
        <w:tc>
          <w:tcPr>
            <w:tcW w:w="976" w:type="dxa"/>
            <w:tcBorders>
              <w:top w:val="single" w:sz="12" w:space="0" w:color="auto"/>
            </w:tcBorders>
          </w:tcPr>
          <w:p w:rsidR="00F909E6" w:rsidRPr="003C52DD" w:rsidRDefault="00F909E6" w:rsidP="00DF5B3F">
            <w:pPr>
              <w:pStyle w:val="TableCaption"/>
              <w:rPr>
                <w:kern w:val="16"/>
                <w:sz w:val="18"/>
                <w:szCs w:val="18"/>
              </w:rPr>
            </w:pPr>
            <w:r>
              <w:rPr>
                <w:kern w:val="16"/>
                <w:sz w:val="18"/>
                <w:szCs w:val="18"/>
              </w:rPr>
              <w:t>&gt;2000</w:t>
            </w:r>
          </w:p>
        </w:tc>
        <w:tc>
          <w:tcPr>
            <w:tcW w:w="821" w:type="dxa"/>
            <w:tcBorders>
              <w:top w:val="single" w:sz="12" w:space="0" w:color="auto"/>
            </w:tcBorders>
          </w:tcPr>
          <w:p w:rsidR="00F909E6" w:rsidRPr="003C52DD" w:rsidRDefault="00F909E6" w:rsidP="00DF5B3F">
            <w:pPr>
              <w:pStyle w:val="TableCaption"/>
              <w:rPr>
                <w:kern w:val="16"/>
                <w:sz w:val="18"/>
                <w:szCs w:val="18"/>
              </w:rPr>
            </w:pPr>
            <w:r>
              <w:rPr>
                <w:kern w:val="16"/>
                <w:sz w:val="18"/>
                <w:szCs w:val="18"/>
              </w:rPr>
              <w:t>6</w:t>
            </w:r>
          </w:p>
        </w:tc>
        <w:tc>
          <w:tcPr>
            <w:tcW w:w="557" w:type="dxa"/>
            <w:tcBorders>
              <w:top w:val="single" w:sz="12" w:space="0" w:color="auto"/>
            </w:tcBorders>
          </w:tcPr>
          <w:p w:rsidR="00F909E6" w:rsidRDefault="00F909E6" w:rsidP="00DF5B3F">
            <w:pPr>
              <w:pStyle w:val="TableCaption"/>
            </w:pPr>
            <w:r>
              <w:t>1</w:t>
            </w:r>
          </w:p>
        </w:tc>
        <w:tc>
          <w:tcPr>
            <w:tcW w:w="1137" w:type="dxa"/>
            <w:tcBorders>
              <w:top w:val="single" w:sz="12" w:space="0" w:color="auto"/>
            </w:tcBorders>
          </w:tcPr>
          <w:p w:rsidR="00F909E6" w:rsidRPr="00360E3A" w:rsidRDefault="00F909E6" w:rsidP="00DF5B3F">
            <w:pPr>
              <w:pStyle w:val="TableCaption"/>
            </w:pPr>
            <w:r>
              <w:t>6.4</w:t>
            </w:r>
          </w:p>
        </w:tc>
      </w:tr>
      <w:tr w:rsidR="00F909E6" w:rsidTr="00DF5B3F">
        <w:trPr>
          <w:jc w:val="center"/>
        </w:trPr>
        <w:tc>
          <w:tcPr>
            <w:tcW w:w="1257" w:type="dxa"/>
            <w:vAlign w:val="center"/>
          </w:tcPr>
          <w:p w:rsidR="00F909E6" w:rsidRPr="000E62A6" w:rsidRDefault="00F909E6" w:rsidP="00DF5B3F">
            <w:pPr>
              <w:pStyle w:val="TableCaption"/>
              <w:rPr>
                <w:kern w:val="16"/>
                <w:sz w:val="18"/>
                <w:szCs w:val="18"/>
              </w:rPr>
            </w:pPr>
            <w:r>
              <w:rPr>
                <w:kern w:val="16"/>
                <w:sz w:val="18"/>
                <w:szCs w:val="18"/>
              </w:rPr>
              <w:t>QPSRQ</w:t>
            </w:r>
          </w:p>
        </w:tc>
        <w:tc>
          <w:tcPr>
            <w:tcW w:w="976" w:type="dxa"/>
            <w:vAlign w:val="center"/>
          </w:tcPr>
          <w:p w:rsidR="00F909E6" w:rsidRPr="000E62A6" w:rsidRDefault="00F909E6" w:rsidP="00DF5B3F">
            <w:pPr>
              <w:pStyle w:val="TableCaption"/>
              <w:rPr>
                <w:kern w:val="16"/>
                <w:sz w:val="18"/>
                <w:szCs w:val="18"/>
              </w:rPr>
            </w:pPr>
            <w:r>
              <w:rPr>
                <w:kern w:val="16"/>
                <w:sz w:val="18"/>
                <w:szCs w:val="18"/>
              </w:rPr>
              <w:t>&gt;2000</w:t>
            </w:r>
          </w:p>
        </w:tc>
        <w:tc>
          <w:tcPr>
            <w:tcW w:w="821" w:type="dxa"/>
            <w:vAlign w:val="center"/>
          </w:tcPr>
          <w:p w:rsidR="00F909E6" w:rsidRPr="000E62A6" w:rsidRDefault="00F909E6" w:rsidP="00DF5B3F">
            <w:pPr>
              <w:pStyle w:val="TableCaption"/>
              <w:rPr>
                <w:kern w:val="16"/>
                <w:sz w:val="18"/>
                <w:szCs w:val="18"/>
              </w:rPr>
            </w:pPr>
            <w:r>
              <w:rPr>
                <w:kern w:val="16"/>
                <w:sz w:val="18"/>
                <w:szCs w:val="18"/>
              </w:rPr>
              <w:t>5</w:t>
            </w:r>
          </w:p>
        </w:tc>
        <w:tc>
          <w:tcPr>
            <w:tcW w:w="557" w:type="dxa"/>
            <w:vAlign w:val="center"/>
          </w:tcPr>
          <w:p w:rsidR="00F909E6" w:rsidRPr="000E62A6" w:rsidRDefault="00F909E6" w:rsidP="00DF5B3F">
            <w:pPr>
              <w:pStyle w:val="TableCaption"/>
              <w:rPr>
                <w:kern w:val="16"/>
                <w:sz w:val="18"/>
                <w:szCs w:val="18"/>
              </w:rPr>
            </w:pPr>
            <w:r>
              <w:rPr>
                <w:kern w:val="16"/>
                <w:sz w:val="18"/>
                <w:szCs w:val="18"/>
              </w:rPr>
              <w:t>0</w:t>
            </w:r>
          </w:p>
        </w:tc>
        <w:tc>
          <w:tcPr>
            <w:tcW w:w="1137" w:type="dxa"/>
            <w:vAlign w:val="center"/>
          </w:tcPr>
          <w:p w:rsidR="00F909E6" w:rsidRPr="000E62A6" w:rsidRDefault="00F909E6" w:rsidP="00DF5B3F">
            <w:pPr>
              <w:pStyle w:val="TableCaption"/>
              <w:rPr>
                <w:kern w:val="16"/>
                <w:sz w:val="18"/>
                <w:szCs w:val="18"/>
              </w:rPr>
            </w:pPr>
            <w:r>
              <w:rPr>
                <w:kern w:val="16"/>
                <w:sz w:val="18"/>
                <w:szCs w:val="18"/>
              </w:rPr>
              <w:t>17.8</w:t>
            </w:r>
          </w:p>
        </w:tc>
      </w:tr>
      <w:tr w:rsidR="00F909E6"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QDSIPQ</w:t>
            </w:r>
          </w:p>
        </w:tc>
        <w:tc>
          <w:tcPr>
            <w:tcW w:w="976" w:type="dxa"/>
            <w:vAlign w:val="center"/>
          </w:tcPr>
          <w:p w:rsidR="00F909E6" w:rsidRPr="000E62A6" w:rsidRDefault="00F909E6" w:rsidP="00DF5B3F">
            <w:pPr>
              <w:pStyle w:val="TableCaption"/>
              <w:rPr>
                <w:kern w:val="16"/>
                <w:sz w:val="18"/>
                <w:szCs w:val="18"/>
              </w:rPr>
            </w:pPr>
            <w:r>
              <w:rPr>
                <w:kern w:val="16"/>
                <w:sz w:val="18"/>
                <w:szCs w:val="18"/>
              </w:rPr>
              <w:t>76</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8</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4.2</w:t>
            </w:r>
          </w:p>
        </w:tc>
      </w:tr>
      <w:tr w:rsidR="00F909E6"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QDS600</w:t>
            </w:r>
          </w:p>
        </w:tc>
        <w:tc>
          <w:tcPr>
            <w:tcW w:w="976" w:type="dxa"/>
            <w:vAlign w:val="center"/>
          </w:tcPr>
          <w:p w:rsidR="00F909E6" w:rsidRPr="000E62A6" w:rsidRDefault="00F909E6" w:rsidP="00DF5B3F">
            <w:pPr>
              <w:pStyle w:val="TableCaption"/>
              <w:rPr>
                <w:kern w:val="16"/>
                <w:sz w:val="18"/>
                <w:szCs w:val="18"/>
              </w:rPr>
            </w:pPr>
            <w:r>
              <w:rPr>
                <w:kern w:val="16"/>
                <w:sz w:val="18"/>
                <w:szCs w:val="18"/>
              </w:rPr>
              <w:t>114</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24</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3.7</w:t>
            </w:r>
          </w:p>
        </w:tc>
      </w:tr>
      <w:tr w:rsidR="00F909E6"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nQPS</w:t>
            </w:r>
          </w:p>
        </w:tc>
        <w:tc>
          <w:tcPr>
            <w:tcW w:w="976" w:type="dxa"/>
            <w:vAlign w:val="center"/>
          </w:tcPr>
          <w:p w:rsidR="00F909E6" w:rsidRPr="000E62A6" w:rsidRDefault="00F909E6" w:rsidP="00DF5B3F">
            <w:pPr>
              <w:pStyle w:val="TableCaption"/>
              <w:rPr>
                <w:kern w:val="16"/>
                <w:sz w:val="18"/>
                <w:szCs w:val="18"/>
              </w:rPr>
            </w:pPr>
            <w:r>
              <w:rPr>
                <w:kern w:val="16"/>
                <w:sz w:val="18"/>
                <w:szCs w:val="18"/>
              </w:rPr>
              <w:t>436</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4</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5.5</w:t>
            </w:r>
          </w:p>
        </w:tc>
      </w:tr>
      <w:tr w:rsidR="00F909E6" w:rsidRPr="00E56880"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EE13kA</w:t>
            </w:r>
          </w:p>
        </w:tc>
        <w:tc>
          <w:tcPr>
            <w:tcW w:w="976" w:type="dxa"/>
            <w:vAlign w:val="center"/>
          </w:tcPr>
          <w:p w:rsidR="00F909E6" w:rsidRPr="000E62A6" w:rsidRDefault="00F909E6" w:rsidP="00DF5B3F">
            <w:pPr>
              <w:pStyle w:val="TableCaption"/>
              <w:rPr>
                <w:kern w:val="16"/>
                <w:sz w:val="18"/>
                <w:szCs w:val="18"/>
              </w:rPr>
            </w:pPr>
            <w:r>
              <w:rPr>
                <w:kern w:val="16"/>
                <w:sz w:val="18"/>
                <w:szCs w:val="18"/>
              </w:rPr>
              <w:t>32</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5</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14</w:t>
            </w:r>
          </w:p>
        </w:tc>
      </w:tr>
      <w:tr w:rsidR="00F909E6" w:rsidRPr="00E56880"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EE600A</w:t>
            </w:r>
          </w:p>
        </w:tc>
        <w:tc>
          <w:tcPr>
            <w:tcW w:w="976" w:type="dxa"/>
            <w:vAlign w:val="center"/>
          </w:tcPr>
          <w:p w:rsidR="00F909E6" w:rsidRPr="000E62A6" w:rsidRDefault="00F909E6" w:rsidP="00DF5B3F">
            <w:pPr>
              <w:pStyle w:val="TableCaption"/>
              <w:rPr>
                <w:kern w:val="16"/>
                <w:sz w:val="18"/>
                <w:szCs w:val="18"/>
              </w:rPr>
            </w:pPr>
            <w:r>
              <w:rPr>
                <w:kern w:val="16"/>
                <w:sz w:val="18"/>
                <w:szCs w:val="18"/>
              </w:rPr>
              <w:t>202</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2</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7.8</w:t>
            </w:r>
          </w:p>
        </w:tc>
      </w:tr>
      <w:tr w:rsidR="00F909E6" w:rsidRPr="00E56880" w:rsidTr="00DF5B3F">
        <w:trPr>
          <w:jc w:val="center"/>
        </w:trPr>
        <w:tc>
          <w:tcPr>
            <w:tcW w:w="1257" w:type="dxa"/>
            <w:vAlign w:val="center"/>
          </w:tcPr>
          <w:p w:rsidR="00F909E6" w:rsidRPr="000E62A6" w:rsidRDefault="00F909E6" w:rsidP="00DF5B3F">
            <w:pPr>
              <w:pStyle w:val="TableCaption"/>
              <w:rPr>
                <w:kern w:val="16"/>
                <w:sz w:val="18"/>
                <w:szCs w:val="18"/>
              </w:rPr>
            </w:pPr>
            <w:r w:rsidRPr="000E62A6">
              <w:rPr>
                <w:kern w:val="16"/>
                <w:sz w:val="18"/>
                <w:szCs w:val="18"/>
              </w:rPr>
              <w:t>DQHDS</w:t>
            </w:r>
          </w:p>
        </w:tc>
        <w:tc>
          <w:tcPr>
            <w:tcW w:w="976" w:type="dxa"/>
            <w:vAlign w:val="center"/>
          </w:tcPr>
          <w:p w:rsidR="00F909E6" w:rsidRPr="000E62A6" w:rsidRDefault="00F909E6" w:rsidP="00DF5B3F">
            <w:pPr>
              <w:pStyle w:val="TableCaption"/>
              <w:rPr>
                <w:kern w:val="16"/>
                <w:sz w:val="18"/>
                <w:szCs w:val="18"/>
              </w:rPr>
            </w:pPr>
            <w:r>
              <w:rPr>
                <w:kern w:val="16"/>
                <w:sz w:val="18"/>
                <w:szCs w:val="18"/>
              </w:rPr>
              <w:t>6084</w:t>
            </w:r>
          </w:p>
        </w:tc>
        <w:tc>
          <w:tcPr>
            <w:tcW w:w="821" w:type="dxa"/>
            <w:vAlign w:val="center"/>
          </w:tcPr>
          <w:p w:rsidR="00F909E6" w:rsidRPr="000E62A6" w:rsidRDefault="00F909E6" w:rsidP="00DF5B3F">
            <w:pPr>
              <w:pStyle w:val="TableCaption"/>
              <w:rPr>
                <w:kern w:val="16"/>
                <w:sz w:val="18"/>
                <w:szCs w:val="18"/>
              </w:rPr>
            </w:pPr>
            <w:r w:rsidRPr="000E62A6">
              <w:rPr>
                <w:kern w:val="16"/>
                <w:sz w:val="18"/>
                <w:szCs w:val="18"/>
              </w:rPr>
              <w:t>1</w:t>
            </w:r>
          </w:p>
        </w:tc>
        <w:tc>
          <w:tcPr>
            <w:tcW w:w="557" w:type="dxa"/>
            <w:vAlign w:val="center"/>
          </w:tcPr>
          <w:p w:rsidR="00F909E6" w:rsidRPr="000E62A6" w:rsidRDefault="00F909E6" w:rsidP="00DF5B3F">
            <w:pPr>
              <w:pStyle w:val="TableCaption"/>
              <w:rPr>
                <w:kern w:val="16"/>
                <w:sz w:val="18"/>
                <w:szCs w:val="18"/>
              </w:rPr>
            </w:pPr>
            <w:r w:rsidRPr="000E62A6">
              <w:rPr>
                <w:kern w:val="16"/>
                <w:sz w:val="18"/>
                <w:szCs w:val="18"/>
              </w:rPr>
              <w:t>0</w:t>
            </w:r>
          </w:p>
        </w:tc>
        <w:tc>
          <w:tcPr>
            <w:tcW w:w="1137" w:type="dxa"/>
            <w:vAlign w:val="center"/>
          </w:tcPr>
          <w:p w:rsidR="00F909E6" w:rsidRPr="000E62A6" w:rsidRDefault="00F909E6" w:rsidP="00DF5B3F">
            <w:pPr>
              <w:pStyle w:val="TableCaption"/>
              <w:rPr>
                <w:kern w:val="16"/>
                <w:sz w:val="18"/>
                <w:szCs w:val="18"/>
              </w:rPr>
            </w:pPr>
            <w:r w:rsidRPr="000E62A6">
              <w:rPr>
                <w:kern w:val="16"/>
                <w:sz w:val="18"/>
                <w:szCs w:val="18"/>
              </w:rPr>
              <w:t>2.5</w:t>
            </w:r>
          </w:p>
        </w:tc>
      </w:tr>
      <w:tr w:rsidR="00F909E6" w:rsidRPr="00E56880" w:rsidTr="00DF5B3F">
        <w:trPr>
          <w:jc w:val="center"/>
        </w:trPr>
        <w:tc>
          <w:tcPr>
            <w:tcW w:w="1257" w:type="dxa"/>
            <w:vAlign w:val="center"/>
          </w:tcPr>
          <w:p w:rsidR="00F909E6" w:rsidRPr="000E62A6" w:rsidRDefault="00F909E6" w:rsidP="00DF5B3F">
            <w:pPr>
              <w:pStyle w:val="TableCaption"/>
              <w:rPr>
                <w:b/>
                <w:kern w:val="16"/>
                <w:sz w:val="18"/>
                <w:szCs w:val="18"/>
              </w:rPr>
            </w:pPr>
            <w:r w:rsidRPr="000E62A6">
              <w:rPr>
                <w:b/>
                <w:kern w:val="16"/>
                <w:sz w:val="18"/>
                <w:szCs w:val="18"/>
              </w:rPr>
              <w:t>Σ</w:t>
            </w:r>
          </w:p>
        </w:tc>
        <w:tc>
          <w:tcPr>
            <w:tcW w:w="976" w:type="dxa"/>
            <w:vAlign w:val="center"/>
          </w:tcPr>
          <w:p w:rsidR="00F909E6" w:rsidRPr="000E62A6" w:rsidRDefault="00F909E6" w:rsidP="00DF5B3F">
            <w:pPr>
              <w:pStyle w:val="TableCaption"/>
              <w:rPr>
                <w:b/>
                <w:kern w:val="16"/>
                <w:sz w:val="18"/>
                <w:szCs w:val="18"/>
              </w:rPr>
            </w:pPr>
            <w:r>
              <w:rPr>
                <w:b/>
                <w:kern w:val="16"/>
                <w:sz w:val="18"/>
                <w:szCs w:val="18"/>
              </w:rPr>
              <w:t>&gt;8900</w:t>
            </w:r>
          </w:p>
        </w:tc>
        <w:tc>
          <w:tcPr>
            <w:tcW w:w="821" w:type="dxa"/>
            <w:vAlign w:val="center"/>
          </w:tcPr>
          <w:p w:rsidR="00F909E6" w:rsidRPr="000E62A6" w:rsidRDefault="00F909E6" w:rsidP="00DF5B3F">
            <w:pPr>
              <w:pStyle w:val="TableCaption"/>
              <w:rPr>
                <w:b/>
                <w:kern w:val="16"/>
                <w:sz w:val="18"/>
                <w:szCs w:val="18"/>
              </w:rPr>
            </w:pPr>
            <w:r w:rsidRPr="000E62A6">
              <w:rPr>
                <w:b/>
                <w:kern w:val="16"/>
                <w:sz w:val="18"/>
                <w:szCs w:val="18"/>
              </w:rPr>
              <w:t>55</w:t>
            </w:r>
          </w:p>
        </w:tc>
        <w:tc>
          <w:tcPr>
            <w:tcW w:w="557" w:type="dxa"/>
            <w:vAlign w:val="center"/>
          </w:tcPr>
          <w:p w:rsidR="00F909E6" w:rsidRPr="000E62A6" w:rsidRDefault="00F909E6" w:rsidP="00DF5B3F">
            <w:pPr>
              <w:pStyle w:val="TableCaption"/>
              <w:rPr>
                <w:b/>
                <w:kern w:val="16"/>
                <w:sz w:val="18"/>
                <w:szCs w:val="18"/>
              </w:rPr>
            </w:pPr>
            <w:r w:rsidRPr="000E62A6">
              <w:rPr>
                <w:b/>
                <w:kern w:val="16"/>
                <w:sz w:val="18"/>
                <w:szCs w:val="18"/>
              </w:rPr>
              <w:t>1</w:t>
            </w:r>
          </w:p>
        </w:tc>
        <w:tc>
          <w:tcPr>
            <w:tcW w:w="1137" w:type="dxa"/>
            <w:vAlign w:val="center"/>
          </w:tcPr>
          <w:p w:rsidR="00F909E6" w:rsidRPr="000E62A6" w:rsidRDefault="00F909E6" w:rsidP="00DF5B3F">
            <w:pPr>
              <w:pStyle w:val="TableCaption"/>
              <w:rPr>
                <w:b/>
                <w:kern w:val="16"/>
                <w:sz w:val="18"/>
                <w:szCs w:val="18"/>
              </w:rPr>
            </w:pPr>
            <w:r w:rsidRPr="000E62A6">
              <w:rPr>
                <w:b/>
                <w:kern w:val="16"/>
                <w:sz w:val="18"/>
                <w:szCs w:val="18"/>
              </w:rPr>
              <w:t>61.8</w:t>
            </w:r>
          </w:p>
        </w:tc>
      </w:tr>
    </w:tbl>
    <w:p w:rsidR="00F909E6" w:rsidRPr="00F909E6" w:rsidRDefault="00F909E6" w:rsidP="00F909E6">
      <w:pPr>
        <w:pStyle w:val="BodyTextIndent"/>
      </w:pPr>
    </w:p>
    <w:p w:rsidR="00F909E6" w:rsidRDefault="00F909E6" w:rsidP="00F909E6">
      <w:pPr>
        <w:pStyle w:val="Heading2"/>
      </w:pPr>
      <w:r>
        <w:t>MAGNET CIRCUITS</w:t>
      </w:r>
    </w:p>
    <w:p w:rsidR="00F909E6" w:rsidRDefault="00F909E6" w:rsidP="00F909E6">
      <w:pPr>
        <w:pStyle w:val="Heading3"/>
        <w:rPr>
          <w:kern w:val="16"/>
        </w:rPr>
      </w:pPr>
      <w:r>
        <w:rPr>
          <w:kern w:val="16"/>
        </w:rPr>
        <w:t>Earth faults</w:t>
      </w:r>
    </w:p>
    <w:p w:rsidR="00F909E6" w:rsidRPr="00A85271" w:rsidRDefault="00F909E6" w:rsidP="00F909E6">
      <w:pPr>
        <w:pStyle w:val="BodyTextIndent"/>
      </w:pPr>
      <w:r>
        <w:t>A short circuit appeared after the TS2 when powering the magnet at 10.5 kA</w:t>
      </w:r>
      <w:r w:rsidR="00F87E6B">
        <w:t xml:space="preserve"> [4]</w:t>
      </w:r>
      <w:r>
        <w:t xml:space="preserve">. The initial diagnostics with the QPS voltage feelers suggested that the earth fault was located in the first part of the positive busbar of the circuit. The root cause was finally identified and traced back to a crocodile clamp which was used for grounding the circuit during the technical stop and not completely removed. After correction and replacement of the earth fuses in the power converter, the circuit was revalidated. </w:t>
      </w:r>
    </w:p>
    <w:p w:rsidR="00F909E6" w:rsidRPr="00AB1515" w:rsidRDefault="00F909E6" w:rsidP="00F909E6">
      <w:pPr>
        <w:pStyle w:val="Heading3"/>
        <w:rPr>
          <w:kern w:val="16"/>
        </w:rPr>
      </w:pPr>
      <w:r w:rsidRPr="00D25845">
        <w:rPr>
          <w:kern w:val="16"/>
        </w:rPr>
        <w:t>Current lead heating system</w:t>
      </w:r>
    </w:p>
    <w:p w:rsidR="00F909E6" w:rsidRPr="00C54A77" w:rsidRDefault="00517E7E" w:rsidP="00F909E6">
      <w:pPr>
        <w:pStyle w:val="BodyTextIndent"/>
      </w:pPr>
      <w:r>
        <w:t>A</w:t>
      </w:r>
      <w:r w:rsidR="00F87E6B">
        <w:t xml:space="preserve"> faulty regulator</w:t>
      </w:r>
      <w:r>
        <w:t xml:space="preserve"> provoked 1 beam dump</w:t>
      </w:r>
      <w:r w:rsidR="00F87E6B">
        <w:t>.</w:t>
      </w:r>
      <w:r>
        <w:t xml:space="preserve"> Another 5 </w:t>
      </w:r>
      <w:r w:rsidR="00F87E6B">
        <w:t xml:space="preserve">regulators were preventively replaced during programmed stops. </w:t>
      </w:r>
    </w:p>
    <w:p w:rsidR="00F909E6" w:rsidRDefault="00F909E6" w:rsidP="00F909E6">
      <w:pPr>
        <w:pStyle w:val="Heading3"/>
        <w:rPr>
          <w:kern w:val="16"/>
        </w:rPr>
      </w:pPr>
      <w:r>
        <w:rPr>
          <w:kern w:val="16"/>
        </w:rPr>
        <w:t>Zero voltage crossing</w:t>
      </w:r>
    </w:p>
    <w:p w:rsidR="00F909E6" w:rsidRPr="00C54A77" w:rsidRDefault="00F909E6" w:rsidP="00F909E6">
      <w:pPr>
        <w:pStyle w:val="BodyTextIndent"/>
      </w:pPr>
      <w:r>
        <w:t xml:space="preserve">The power converters generate some </w:t>
      </w:r>
      <w:r w:rsidR="005633F4">
        <w:t>distortion</w:t>
      </w:r>
      <w:r>
        <w:t xml:space="preserve"> when crossing through zero voltage with current in the load. This behaviour is specific for the 4-quadrant power converters which result in a voltage spike that can trigger the QPS. In 2017, 10 trips were observed during the precyle or ramp-down and dominated by RQTL11.L5B1 (8 occurrences).</w:t>
      </w:r>
    </w:p>
    <w:p w:rsidR="00F909E6" w:rsidRDefault="00F909E6" w:rsidP="00F909E6">
      <w:pPr>
        <w:pStyle w:val="Heading3"/>
        <w:rPr>
          <w:kern w:val="16"/>
        </w:rPr>
      </w:pPr>
      <w:r w:rsidRPr="004464E6">
        <w:rPr>
          <w:kern w:val="16"/>
        </w:rPr>
        <w:lastRenderedPageBreak/>
        <w:t>13kA EE resistors temperature interlock</w:t>
      </w:r>
    </w:p>
    <w:p w:rsidR="00F909E6" w:rsidRPr="00AB1515" w:rsidRDefault="00F909E6" w:rsidP="00F909E6">
      <w:pPr>
        <w:pStyle w:val="BodyTextIndent"/>
      </w:pPr>
      <w:r>
        <w:t xml:space="preserve">In case of quenches, the </w:t>
      </w:r>
      <w:r w:rsidR="005633F4">
        <w:t>cool-down</w:t>
      </w:r>
      <w:r>
        <w:t xml:space="preserve"> of 13 kA EE resistors remains in the shadow of the cryogenics recovery, however in 3 occasions, the EE exceeded the recovery time of the parent fault by up to 2 hours.  </w:t>
      </w:r>
    </w:p>
    <w:p w:rsidR="00F909E6" w:rsidRDefault="00F909E6" w:rsidP="00F909E6">
      <w:pPr>
        <w:pStyle w:val="Heading2"/>
      </w:pPr>
      <w:r w:rsidRPr="004464E6">
        <w:t xml:space="preserve">Fast Magnet Current </w:t>
      </w:r>
      <w:r>
        <w:t xml:space="preserve">CHANGE </w:t>
      </w:r>
      <w:r w:rsidRPr="004464E6">
        <w:t>Monitors</w:t>
      </w:r>
    </w:p>
    <w:p w:rsidR="00F909E6" w:rsidRDefault="00F909E6" w:rsidP="00F909E6">
      <w:pPr>
        <w:pStyle w:val="BodyTextIndent"/>
      </w:pPr>
      <w:r>
        <w:t>Fast Magnet Current change Monitors (FMCM) are designed to detect unacceptable current changes in normal conducting magnets. In 2017, 15 electrical perturbations resulted in protective dumps triggered by the FMCMs, which represent a significant improvement with respect to the 23 electrical disturbances observed in 2016 leading to 22 FMCM dumps. This reduction comes from the replacement of the thyristor power converters RPTG (for the RD1 and RD34 warm magnet circuits) by new switch-mode power con</w:t>
      </w:r>
      <w:r w:rsidR="00517E7E">
        <w:t>verters during the YETS 2016-17</w:t>
      </w:r>
      <w:r>
        <w:t xml:space="preserve">. A potential availability gain could be easily achievable by improving the rejection against electrical glitches on RMSD and RQ5 circuits. </w:t>
      </w:r>
    </w:p>
    <w:p w:rsidR="00F909E6" w:rsidRPr="004464E6" w:rsidRDefault="00F909E6" w:rsidP="00F909E6">
      <w:pPr>
        <w:pStyle w:val="Heading2"/>
      </w:pPr>
      <w:r>
        <w:t>MAGNET INTERLOCKS</w:t>
      </w:r>
    </w:p>
    <w:p w:rsidR="00F909E6" w:rsidRDefault="00F909E6" w:rsidP="00F909E6">
      <w:pPr>
        <w:pStyle w:val="BodyTextIndent"/>
      </w:pPr>
      <w:r>
        <w:t xml:space="preserve">Magnet interlocks were identified as the root cause for 9 premature beam dumps. This includes 7 spurious triggers of the RQ10.L8 electrical circuit, due to glitches on the interface between the power converter and the PIC. Several mitigations actions were put in place, without success (e.g. current source, patch panels, FGC and PC chassis replacement). In addition, a PLC installed in UL14 suffered from a memory corruption that led to a loss of communication and dumped the circulating beams. This event was classified as radiation-induced, as similar events occurred in the past on different PLCs in the UL14/16. Furthermore, a wrong manipulation of the Controls Configuration Database provoked a CMW communication issue with the PIC WinCC Servers that led to a premature dump. </w:t>
      </w:r>
    </w:p>
    <w:p w:rsidR="00817D5C" w:rsidRDefault="00817D5C" w:rsidP="00817D5C">
      <w:pPr>
        <w:pStyle w:val="Heading2"/>
      </w:pPr>
      <w:r>
        <w:t>CONCLUSIONS</w:t>
      </w:r>
    </w:p>
    <w:p w:rsidR="005633F4" w:rsidRPr="005633F4" w:rsidRDefault="005633F4" w:rsidP="005633F4">
      <w:pPr>
        <w:pStyle w:val="BodyTextIndent"/>
      </w:pPr>
      <w:r>
        <w:t xml:space="preserve">The performance of the LHC circuits, powering and protection systems was remarkable in 2017 and the overall fault time was slightly reduced with respect to 2016 (169 h compared to 174 h last year). The consolidation efforts to deploy new power converters and FGClite controls </w:t>
      </w:r>
      <w:r w:rsidR="0027237F">
        <w:t xml:space="preserve">for the 60 </w:t>
      </w:r>
      <w:proofErr w:type="gramStart"/>
      <w:r w:rsidR="0027237F">
        <w:t>A</w:t>
      </w:r>
      <w:proofErr w:type="gramEnd"/>
      <w:r w:rsidR="0027237F">
        <w:t xml:space="preserve"> </w:t>
      </w:r>
      <w:r>
        <w:t>circuits pay</w:t>
      </w:r>
      <w:r w:rsidR="00D25845">
        <w:t>ed</w:t>
      </w:r>
      <w:r>
        <w:t xml:space="preserve"> off. Further R2E mitigations </w:t>
      </w:r>
      <w:r w:rsidR="0027237F">
        <w:t>will be put in place in LS2, with the deployment of the FGClite in the 120 A converters in the RRs, together with R2E-600A and R2E-4-6-8kA converters also in the RRs.</w:t>
      </w:r>
      <w:r>
        <w:t xml:space="preserve"> </w:t>
      </w:r>
    </w:p>
    <w:p w:rsidR="00BC6316" w:rsidRDefault="00BC6316" w:rsidP="00165665">
      <w:pPr>
        <w:pStyle w:val="Heading2"/>
      </w:pPr>
      <w:r>
        <w:t>acknowledgment</w:t>
      </w:r>
    </w:p>
    <w:p w:rsidR="00440681" w:rsidRPr="00BC6316" w:rsidRDefault="00440681" w:rsidP="00440681">
      <w:r>
        <w:t xml:space="preserve">The data presented on this report were kindly provided by </w:t>
      </w:r>
      <w:r w:rsidRPr="004464E6">
        <w:t>A.</w:t>
      </w:r>
      <w:r>
        <w:t> </w:t>
      </w:r>
      <w:r w:rsidRPr="004464E6">
        <w:t>Antoine, M. Bednarek, Z</w:t>
      </w:r>
      <w:r>
        <w:t>. Charifoulline, G. J. Coelingh, G</w:t>
      </w:r>
      <w:r w:rsidRPr="004464E6">
        <w:t>.</w:t>
      </w:r>
      <w:r>
        <w:t> </w:t>
      </w:r>
      <w:r w:rsidRPr="004464E6">
        <w:t>D’Angelo, R. Denz,</w:t>
      </w:r>
      <w:r>
        <w:t xml:space="preserve"> V. Montabonnet, J. Nielsen, D. N</w:t>
      </w:r>
      <w:r w:rsidRPr="004464E6">
        <w:t xml:space="preserve">isbet, B. Panev, S. Pemberton, </w:t>
      </w:r>
      <w:r>
        <w:t xml:space="preserve">F. Rodríguez Mateos, </w:t>
      </w:r>
      <w:r w:rsidRPr="004464E6">
        <w:t>H. Thiesen</w:t>
      </w:r>
      <w:r>
        <w:t xml:space="preserve">, </w:t>
      </w:r>
      <w:proofErr w:type="gramStart"/>
      <w:r>
        <w:t>S</w:t>
      </w:r>
      <w:proofErr w:type="gramEnd"/>
      <w:r>
        <w:t>. </w:t>
      </w:r>
      <w:r w:rsidRPr="004464E6">
        <w:t>Uznanski</w:t>
      </w:r>
      <w:r>
        <w:t>.</w:t>
      </w:r>
    </w:p>
    <w:p w:rsidR="00165665" w:rsidRDefault="00165665" w:rsidP="00165665">
      <w:pPr>
        <w:pStyle w:val="Heading2"/>
      </w:pPr>
      <w:r>
        <w:t>References</w:t>
      </w:r>
    </w:p>
    <w:p w:rsidR="00723CE9" w:rsidRDefault="00165665" w:rsidP="00723CE9">
      <w:pPr>
        <w:pStyle w:val="Reference"/>
        <w:rPr>
          <w:sz w:val="18"/>
          <w:szCs w:val="18"/>
        </w:rPr>
      </w:pPr>
      <w:r w:rsidRPr="00723CE9">
        <w:rPr>
          <w:sz w:val="18"/>
          <w:szCs w:val="18"/>
        </w:rPr>
        <w:t>[1</w:t>
      </w:r>
      <w:proofErr w:type="gramStart"/>
      <w:r w:rsidRPr="00723CE9">
        <w:rPr>
          <w:sz w:val="18"/>
          <w:szCs w:val="18"/>
        </w:rPr>
        <w:t>]</w:t>
      </w:r>
      <w:r w:rsidR="00723CE9" w:rsidRPr="00723CE9">
        <w:rPr>
          <w:sz w:val="18"/>
          <w:szCs w:val="18"/>
        </w:rPr>
        <w:t xml:space="preserve"> </w:t>
      </w:r>
      <w:r w:rsidR="00283120">
        <w:rPr>
          <w:sz w:val="18"/>
          <w:szCs w:val="18"/>
        </w:rPr>
        <w:t xml:space="preserve"> </w:t>
      </w:r>
      <w:r w:rsidR="00723CE9" w:rsidRPr="00723CE9">
        <w:rPr>
          <w:sz w:val="18"/>
          <w:szCs w:val="18"/>
        </w:rPr>
        <w:t>R</w:t>
      </w:r>
      <w:proofErr w:type="gramEnd"/>
      <w:r w:rsidR="00723CE9" w:rsidRPr="00723CE9">
        <w:rPr>
          <w:sz w:val="18"/>
          <w:szCs w:val="18"/>
        </w:rPr>
        <w:t xml:space="preserve">. G. </w:t>
      </w:r>
      <w:proofErr w:type="spellStart"/>
      <w:r w:rsidR="00723CE9" w:rsidRPr="00723CE9">
        <w:rPr>
          <w:sz w:val="18"/>
          <w:szCs w:val="18"/>
        </w:rPr>
        <w:t>Alía</w:t>
      </w:r>
      <w:proofErr w:type="spellEnd"/>
      <w:r w:rsidR="00723CE9" w:rsidRPr="00723CE9">
        <w:rPr>
          <w:sz w:val="18"/>
          <w:szCs w:val="18"/>
        </w:rPr>
        <w:t>, “</w:t>
      </w:r>
      <w:r w:rsidR="00723CE9" w:rsidRPr="00723CE9">
        <w:rPr>
          <w:bCs/>
          <w:sz w:val="18"/>
          <w:szCs w:val="18"/>
        </w:rPr>
        <w:t>Summary of 2017 LHC radiation levels with a focus on IP7 losses scaling</w:t>
      </w:r>
      <w:r w:rsidR="00723CE9" w:rsidRPr="00723CE9">
        <w:rPr>
          <w:sz w:val="18"/>
          <w:szCs w:val="18"/>
        </w:rPr>
        <w:t>”</w:t>
      </w:r>
      <w:r w:rsidR="00723CE9">
        <w:rPr>
          <w:sz w:val="18"/>
          <w:szCs w:val="18"/>
        </w:rPr>
        <w:t>, 331</w:t>
      </w:r>
      <w:r w:rsidR="00723CE9" w:rsidRPr="00723CE9">
        <w:rPr>
          <w:sz w:val="18"/>
          <w:szCs w:val="18"/>
          <w:vertAlign w:val="superscript"/>
        </w:rPr>
        <w:t>st</w:t>
      </w:r>
      <w:r w:rsidR="00723CE9">
        <w:rPr>
          <w:sz w:val="18"/>
          <w:szCs w:val="18"/>
        </w:rPr>
        <w:t xml:space="preserve"> LMC</w:t>
      </w:r>
    </w:p>
    <w:p w:rsidR="00216159" w:rsidRDefault="00216159" w:rsidP="00723CE9">
      <w:pPr>
        <w:pStyle w:val="Reference"/>
        <w:rPr>
          <w:sz w:val="18"/>
          <w:szCs w:val="18"/>
        </w:rPr>
      </w:pPr>
      <w:r>
        <w:rPr>
          <w:sz w:val="18"/>
          <w:szCs w:val="18"/>
        </w:rPr>
        <w:t>[2</w:t>
      </w:r>
      <w:proofErr w:type="gramStart"/>
      <w:r>
        <w:rPr>
          <w:sz w:val="18"/>
          <w:szCs w:val="18"/>
        </w:rPr>
        <w:t>]  V</w:t>
      </w:r>
      <w:proofErr w:type="gramEnd"/>
      <w:r>
        <w:rPr>
          <w:sz w:val="18"/>
          <w:szCs w:val="18"/>
        </w:rPr>
        <w:t>. Montabonnet, “Water leak on RB.A12 power converter”, 308</w:t>
      </w:r>
      <w:r w:rsidRPr="00216159">
        <w:rPr>
          <w:sz w:val="18"/>
          <w:szCs w:val="18"/>
          <w:vertAlign w:val="superscript"/>
        </w:rPr>
        <w:t>th</w:t>
      </w:r>
      <w:r>
        <w:rPr>
          <w:sz w:val="18"/>
          <w:szCs w:val="18"/>
        </w:rPr>
        <w:t xml:space="preserve"> LMC</w:t>
      </w:r>
    </w:p>
    <w:p w:rsidR="00DF34CA" w:rsidRPr="00351D48" w:rsidRDefault="00723CE9" w:rsidP="00723CE9">
      <w:pPr>
        <w:pStyle w:val="Reference"/>
        <w:rPr>
          <w:sz w:val="18"/>
          <w:szCs w:val="18"/>
        </w:rPr>
      </w:pPr>
      <w:r>
        <w:rPr>
          <w:sz w:val="18"/>
          <w:szCs w:val="18"/>
        </w:rPr>
        <w:t>[</w:t>
      </w:r>
      <w:r w:rsidR="005633F4">
        <w:rPr>
          <w:sz w:val="18"/>
          <w:szCs w:val="18"/>
        </w:rPr>
        <w:t>3</w:t>
      </w:r>
      <w:proofErr w:type="gramStart"/>
      <w:r>
        <w:rPr>
          <w:sz w:val="18"/>
          <w:szCs w:val="18"/>
        </w:rPr>
        <w:t xml:space="preserve">]  </w:t>
      </w:r>
      <w:r w:rsidR="00DF34CA">
        <w:rPr>
          <w:sz w:val="18"/>
          <w:szCs w:val="18"/>
        </w:rPr>
        <w:t>M</w:t>
      </w:r>
      <w:proofErr w:type="gramEnd"/>
      <w:r w:rsidR="00DF34CA">
        <w:rPr>
          <w:sz w:val="18"/>
          <w:szCs w:val="18"/>
        </w:rPr>
        <w:t>. Aru, “Change of RPTG Power Converters: LHC Warm Magnet Circuits RD1 and RD34</w:t>
      </w:r>
      <w:r w:rsidR="00DF34CA" w:rsidRPr="00351D48">
        <w:rPr>
          <w:sz w:val="18"/>
          <w:szCs w:val="18"/>
        </w:rPr>
        <w:t>”</w:t>
      </w:r>
      <w:r w:rsidR="00DF34CA">
        <w:rPr>
          <w:sz w:val="18"/>
          <w:szCs w:val="18"/>
        </w:rPr>
        <w:t>, EDMS 1534654</w:t>
      </w:r>
    </w:p>
    <w:p w:rsidR="00DF34CA" w:rsidRDefault="00DF34CA" w:rsidP="00DF34CA">
      <w:pPr>
        <w:pStyle w:val="Reference"/>
        <w:rPr>
          <w:sz w:val="18"/>
          <w:szCs w:val="18"/>
        </w:rPr>
      </w:pPr>
      <w:r w:rsidRPr="00C54A77">
        <w:rPr>
          <w:sz w:val="18"/>
          <w:szCs w:val="18"/>
        </w:rPr>
        <w:t>[</w:t>
      </w:r>
      <w:r w:rsidR="005633F4">
        <w:rPr>
          <w:sz w:val="18"/>
          <w:szCs w:val="18"/>
        </w:rPr>
        <w:t>4</w:t>
      </w:r>
      <w:r w:rsidRPr="00C54A77">
        <w:rPr>
          <w:sz w:val="18"/>
          <w:szCs w:val="18"/>
        </w:rPr>
        <w:t>]</w:t>
      </w:r>
      <w:r w:rsidRPr="00C54A77">
        <w:rPr>
          <w:sz w:val="18"/>
          <w:szCs w:val="18"/>
        </w:rPr>
        <w:tab/>
        <w:t xml:space="preserve">M. Zerlauth, “Earth </w:t>
      </w:r>
      <w:r>
        <w:rPr>
          <w:sz w:val="18"/>
          <w:szCs w:val="18"/>
        </w:rPr>
        <w:t>faul</w:t>
      </w:r>
      <w:r w:rsidRPr="00C54A77">
        <w:rPr>
          <w:sz w:val="18"/>
          <w:szCs w:val="18"/>
        </w:rPr>
        <w:t>t</w:t>
      </w:r>
      <w:r>
        <w:rPr>
          <w:sz w:val="18"/>
          <w:szCs w:val="18"/>
        </w:rPr>
        <w:t xml:space="preserve"> </w:t>
      </w:r>
      <w:r w:rsidRPr="00C54A77">
        <w:rPr>
          <w:sz w:val="18"/>
          <w:szCs w:val="18"/>
        </w:rPr>
        <w:t>on RB.</w:t>
      </w:r>
      <w:r>
        <w:rPr>
          <w:sz w:val="18"/>
          <w:szCs w:val="18"/>
        </w:rPr>
        <w:t>A12</w:t>
      </w:r>
      <w:r w:rsidRPr="00C54A77">
        <w:rPr>
          <w:sz w:val="18"/>
          <w:szCs w:val="18"/>
        </w:rPr>
        <w:t>”</w:t>
      </w:r>
      <w:r>
        <w:rPr>
          <w:sz w:val="18"/>
          <w:szCs w:val="18"/>
        </w:rPr>
        <w:t xml:space="preserve">, 2017 September, </w:t>
      </w:r>
      <w:hyperlink r:id="rId9" w:history="1">
        <w:r w:rsidRPr="00530AB2">
          <w:rPr>
            <w:rStyle w:val="Hyperlink"/>
            <w:sz w:val="18"/>
            <w:szCs w:val="18"/>
          </w:rPr>
          <w:t>https://twiki.cern.ch/twiki/pub/MP3/RBA12/RB_A12_Short.pptx</w:t>
        </w:r>
      </w:hyperlink>
    </w:p>
    <w:p w:rsidR="00DF34CA" w:rsidRPr="00351D48" w:rsidRDefault="00DF34CA" w:rsidP="005633F4">
      <w:pPr>
        <w:pStyle w:val="Reference"/>
        <w:rPr>
          <w:sz w:val="18"/>
          <w:szCs w:val="18"/>
        </w:rPr>
      </w:pPr>
      <w:r w:rsidRPr="00351D48">
        <w:rPr>
          <w:sz w:val="18"/>
          <w:szCs w:val="18"/>
        </w:rPr>
        <w:tab/>
      </w:r>
    </w:p>
    <w:p w:rsidR="00B75D5E" w:rsidRPr="00351D48" w:rsidRDefault="00B75D5E" w:rsidP="00DF34CA">
      <w:pPr>
        <w:pStyle w:val="Reference"/>
        <w:rPr>
          <w:sz w:val="18"/>
          <w:szCs w:val="18"/>
        </w:rPr>
      </w:pPr>
    </w:p>
    <w:sectPr w:rsidR="00B75D5E" w:rsidRPr="00351D48" w:rsidSect="007F325F">
      <w:footnotePr>
        <w:pos w:val="beneathText"/>
        <w:numFmt w:val="chicago"/>
      </w:footnotePr>
      <w:endnotePr>
        <w:numFmt w:val="decimal"/>
      </w:endnotePr>
      <w:type w:val="continuous"/>
      <w:pgSz w:w="11909" w:h="16834" w:code="9"/>
      <w:pgMar w:top="2102" w:right="1138" w:bottom="1080" w:left="113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F1" w:rsidRDefault="005A32F1"/>
  </w:endnote>
  <w:endnote w:type="continuationSeparator" w:id="0">
    <w:p w:rsidR="005A32F1" w:rsidRDefault="005A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F1" w:rsidRDefault="005A32F1">
      <w:r>
        <w:separator/>
      </w:r>
    </w:p>
  </w:footnote>
  <w:footnote w:type="continuationSeparator" w:id="0">
    <w:p w:rsidR="005A32F1" w:rsidRDefault="005A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7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A4B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C7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A229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689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7"/>
    <w:rsid w:val="00013ABB"/>
    <w:rsid w:val="0001674C"/>
    <w:rsid w:val="00052CB4"/>
    <w:rsid w:val="00074A20"/>
    <w:rsid w:val="000843C8"/>
    <w:rsid w:val="000A2A9A"/>
    <w:rsid w:val="000C1815"/>
    <w:rsid w:val="000D0EE2"/>
    <w:rsid w:val="000E1BEA"/>
    <w:rsid w:val="000E28FD"/>
    <w:rsid w:val="000E57D6"/>
    <w:rsid w:val="000F3F19"/>
    <w:rsid w:val="00126C15"/>
    <w:rsid w:val="0014145F"/>
    <w:rsid w:val="00143535"/>
    <w:rsid w:val="0015344C"/>
    <w:rsid w:val="00165665"/>
    <w:rsid w:val="00172375"/>
    <w:rsid w:val="001D6284"/>
    <w:rsid w:val="001E78D7"/>
    <w:rsid w:val="001F0FAE"/>
    <w:rsid w:val="00216159"/>
    <w:rsid w:val="00243C3F"/>
    <w:rsid w:val="00256197"/>
    <w:rsid w:val="0027237F"/>
    <w:rsid w:val="00283120"/>
    <w:rsid w:val="00283C76"/>
    <w:rsid w:val="002C6318"/>
    <w:rsid w:val="002D2A47"/>
    <w:rsid w:val="002D414E"/>
    <w:rsid w:val="003003BA"/>
    <w:rsid w:val="003412C6"/>
    <w:rsid w:val="00351D48"/>
    <w:rsid w:val="00370773"/>
    <w:rsid w:val="00370789"/>
    <w:rsid w:val="0037743E"/>
    <w:rsid w:val="00384E55"/>
    <w:rsid w:val="003945E8"/>
    <w:rsid w:val="00394F4B"/>
    <w:rsid w:val="003A007C"/>
    <w:rsid w:val="003A575A"/>
    <w:rsid w:val="003C2980"/>
    <w:rsid w:val="003C2B35"/>
    <w:rsid w:val="003C52DD"/>
    <w:rsid w:val="003E310F"/>
    <w:rsid w:val="003E4017"/>
    <w:rsid w:val="00404AD2"/>
    <w:rsid w:val="00440681"/>
    <w:rsid w:val="004516D9"/>
    <w:rsid w:val="004706E3"/>
    <w:rsid w:val="0049346D"/>
    <w:rsid w:val="004A1546"/>
    <w:rsid w:val="004B39A0"/>
    <w:rsid w:val="004D6D77"/>
    <w:rsid w:val="004E1F63"/>
    <w:rsid w:val="004F2A1D"/>
    <w:rsid w:val="00500A60"/>
    <w:rsid w:val="00506C77"/>
    <w:rsid w:val="00517E7E"/>
    <w:rsid w:val="00544779"/>
    <w:rsid w:val="00555839"/>
    <w:rsid w:val="005633F4"/>
    <w:rsid w:val="005779BE"/>
    <w:rsid w:val="00587A5E"/>
    <w:rsid w:val="005909C8"/>
    <w:rsid w:val="005A32F1"/>
    <w:rsid w:val="005C11FB"/>
    <w:rsid w:val="005C373E"/>
    <w:rsid w:val="005C76FE"/>
    <w:rsid w:val="005E24F7"/>
    <w:rsid w:val="005F6709"/>
    <w:rsid w:val="0064089E"/>
    <w:rsid w:val="006560C3"/>
    <w:rsid w:val="00662C6C"/>
    <w:rsid w:val="006773E4"/>
    <w:rsid w:val="006811B5"/>
    <w:rsid w:val="006845B5"/>
    <w:rsid w:val="006A5E67"/>
    <w:rsid w:val="006C58CD"/>
    <w:rsid w:val="006F69A8"/>
    <w:rsid w:val="00705910"/>
    <w:rsid w:val="00723CE9"/>
    <w:rsid w:val="00761218"/>
    <w:rsid w:val="007B160A"/>
    <w:rsid w:val="007B1A5A"/>
    <w:rsid w:val="007D1D1F"/>
    <w:rsid w:val="007F0E02"/>
    <w:rsid w:val="007F29FF"/>
    <w:rsid w:val="007F325F"/>
    <w:rsid w:val="007F79A3"/>
    <w:rsid w:val="00801CB2"/>
    <w:rsid w:val="00817D5C"/>
    <w:rsid w:val="008227E0"/>
    <w:rsid w:val="00844B1C"/>
    <w:rsid w:val="00875D2B"/>
    <w:rsid w:val="008A01FD"/>
    <w:rsid w:val="008B10C8"/>
    <w:rsid w:val="008F5E79"/>
    <w:rsid w:val="00963151"/>
    <w:rsid w:val="00973EE7"/>
    <w:rsid w:val="009A1B1C"/>
    <w:rsid w:val="009B15A2"/>
    <w:rsid w:val="009C5D88"/>
    <w:rsid w:val="009D1438"/>
    <w:rsid w:val="009E24BD"/>
    <w:rsid w:val="00A011FF"/>
    <w:rsid w:val="00A045D8"/>
    <w:rsid w:val="00A06B28"/>
    <w:rsid w:val="00A35069"/>
    <w:rsid w:val="00A45AC9"/>
    <w:rsid w:val="00A53915"/>
    <w:rsid w:val="00A748B1"/>
    <w:rsid w:val="00A809E8"/>
    <w:rsid w:val="00AB1310"/>
    <w:rsid w:val="00AB2D00"/>
    <w:rsid w:val="00AD3CD2"/>
    <w:rsid w:val="00AD583B"/>
    <w:rsid w:val="00AF2001"/>
    <w:rsid w:val="00B216A3"/>
    <w:rsid w:val="00B229FB"/>
    <w:rsid w:val="00B75D5E"/>
    <w:rsid w:val="00B94C4E"/>
    <w:rsid w:val="00BA2140"/>
    <w:rsid w:val="00BC515F"/>
    <w:rsid w:val="00BC6316"/>
    <w:rsid w:val="00BC6C9C"/>
    <w:rsid w:val="00C00D4F"/>
    <w:rsid w:val="00C12DA9"/>
    <w:rsid w:val="00C53798"/>
    <w:rsid w:val="00CA421B"/>
    <w:rsid w:val="00D232A8"/>
    <w:rsid w:val="00D25845"/>
    <w:rsid w:val="00D550FB"/>
    <w:rsid w:val="00D800B1"/>
    <w:rsid w:val="00D91B03"/>
    <w:rsid w:val="00DE79DC"/>
    <w:rsid w:val="00DF34CA"/>
    <w:rsid w:val="00E36633"/>
    <w:rsid w:val="00E47E1F"/>
    <w:rsid w:val="00EA631F"/>
    <w:rsid w:val="00EB1E89"/>
    <w:rsid w:val="00EC74E3"/>
    <w:rsid w:val="00EE4291"/>
    <w:rsid w:val="00F2614A"/>
    <w:rsid w:val="00F4797F"/>
    <w:rsid w:val="00F87E6B"/>
    <w:rsid w:val="00F909E6"/>
    <w:rsid w:val="00FA4B60"/>
    <w:rsid w:val="00FB1A7D"/>
    <w:rsid w:val="00FD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7A41"/>
  <w15:docId w15:val="{FBA6528B-8A4B-419D-A927-E81EE3A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link w:val="BodyTextIndentChar"/>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character" w:customStyle="1" w:styleId="FootnoteTextChar">
    <w:name w:val="Footnote Text Char"/>
    <w:link w:val="FootnoteText"/>
    <w:rsid w:val="00AD3CD2"/>
    <w:rPr>
      <w:sz w:val="16"/>
      <w:lang w:val="en-GB"/>
    </w:rPr>
  </w:style>
  <w:style w:type="character" w:customStyle="1" w:styleId="BodyTextIndentChar">
    <w:name w:val="Body Text Indent Char"/>
    <w:link w:val="BodyTextIndent"/>
    <w:rsid w:val="00AD3C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ki.cern.ch/twiki/pub/MP3/RBA12/RB_A12_Shor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merar\AppData\Local\Temp\JACoW_W10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9E1D-0FE5-4478-B7AC-E0995BA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JACoW_W10_A4</Template>
  <TotalTime>0</TotalTime>
  <Pages>3</Pages>
  <Words>1486</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Romera Ramirez</dc:creator>
  <cp:lastModifiedBy>Ivan Romera Ramirez</cp:lastModifiedBy>
  <cp:revision>2</cp:revision>
  <cp:lastPrinted>2012-02-20T20:17:00Z</cp:lastPrinted>
  <dcterms:created xsi:type="dcterms:W3CDTF">2018-11-16T14:12:00Z</dcterms:created>
  <dcterms:modified xsi:type="dcterms:W3CDTF">2018-11-16T14:12:00Z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