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2B23FC" w14:textId="6C103D28" w:rsidR="00CC0395" w:rsidRDefault="00CC0395" w:rsidP="00CC0395">
      <w:pPr>
        <w:pStyle w:val="Title"/>
        <w:jc w:val="center"/>
        <w:rPr>
          <w:lang w:val="en"/>
        </w:rPr>
      </w:pPr>
      <w:r>
        <w:rPr>
          <w:lang w:val="en"/>
        </w:rPr>
        <w:t>CERN and ISO 16363 Metrics</w:t>
      </w:r>
    </w:p>
    <w:p w14:paraId="03BE792E" w14:textId="689C3656" w:rsidR="00CC0395" w:rsidRDefault="00CC0395" w:rsidP="00CC0395">
      <w:pPr>
        <w:rPr>
          <w:lang w:val="en"/>
        </w:rPr>
      </w:pPr>
      <w:r>
        <w:rPr>
          <w:lang w:val="en"/>
        </w:rPr>
        <w:t xml:space="preserve">CERN produces and </w:t>
      </w:r>
      <w:r w:rsidR="003555F6">
        <w:rPr>
          <w:lang w:val="en"/>
        </w:rPr>
        <w:t>preserve</w:t>
      </w:r>
      <w:r>
        <w:rPr>
          <w:lang w:val="en"/>
        </w:rPr>
        <w:t>s a variety of data that can be broadly grouped into the following categories:</w:t>
      </w:r>
    </w:p>
    <w:p w14:paraId="32C0A3CC" w14:textId="77777777" w:rsidR="00CC0395" w:rsidRDefault="00CC0395" w:rsidP="00CC0395">
      <w:pPr>
        <w:rPr>
          <w:lang w:val="en"/>
        </w:rPr>
      </w:pPr>
    </w:p>
    <w:p w14:paraId="193F63A9" w14:textId="1FCD5C01" w:rsidR="00CC0395" w:rsidRDefault="00CC0395" w:rsidP="00CC0395">
      <w:pPr>
        <w:pStyle w:val="ListParagraph"/>
        <w:numPr>
          <w:ilvl w:val="0"/>
          <w:numId w:val="12"/>
        </w:numPr>
        <w:rPr>
          <w:lang w:val="en"/>
        </w:rPr>
      </w:pPr>
      <w:r>
        <w:rPr>
          <w:lang w:val="en"/>
        </w:rPr>
        <w:t>Scientific data from the various experiments conducted at CERN;</w:t>
      </w:r>
    </w:p>
    <w:p w14:paraId="57096DFD" w14:textId="36EAE953" w:rsidR="00CC0395" w:rsidRDefault="00CC0395" w:rsidP="00CC0395">
      <w:pPr>
        <w:pStyle w:val="ListParagraph"/>
        <w:numPr>
          <w:ilvl w:val="0"/>
          <w:numId w:val="12"/>
        </w:numPr>
        <w:rPr>
          <w:lang w:val="en"/>
        </w:rPr>
      </w:pPr>
      <w:r>
        <w:rPr>
          <w:lang w:val="en"/>
        </w:rPr>
        <w:t>Papers and publications, many of which derive directly from the above and / or are related to R&amp;D, service deployment and operations etc;</w:t>
      </w:r>
    </w:p>
    <w:p w14:paraId="100BFCB8" w14:textId="6AACAEA3" w:rsidR="00CC0395" w:rsidRDefault="00051519" w:rsidP="00CC0395">
      <w:pPr>
        <w:pStyle w:val="ListParagraph"/>
        <w:numPr>
          <w:ilvl w:val="0"/>
          <w:numId w:val="12"/>
        </w:numPr>
        <w:rPr>
          <w:lang w:val="en"/>
        </w:rPr>
      </w:pPr>
      <w:r>
        <w:rPr>
          <w:lang w:val="en"/>
        </w:rPr>
        <w:t>The “Digital Memory” of the organisation, that includes minutes of meetings, videos, digitised images and so forth.</w:t>
      </w:r>
    </w:p>
    <w:p w14:paraId="1B98943B" w14:textId="77777777" w:rsidR="008259D9" w:rsidRDefault="008259D9" w:rsidP="008259D9">
      <w:pPr>
        <w:rPr>
          <w:lang w:val="en"/>
        </w:rPr>
      </w:pPr>
    </w:p>
    <w:p w14:paraId="269C480C" w14:textId="01323AE5" w:rsidR="00251184" w:rsidRPr="00251184" w:rsidRDefault="008259D9" w:rsidP="00251184">
      <w:pPr>
        <w:rPr>
          <w:lang w:val="en"/>
        </w:rPr>
      </w:pPr>
      <w:r>
        <w:rPr>
          <w:lang w:val="en"/>
        </w:rPr>
        <w:t xml:space="preserve">This list is non-exhaustive and may be </w:t>
      </w:r>
      <w:r w:rsidR="0086531B">
        <w:rPr>
          <w:lang w:val="en"/>
        </w:rPr>
        <w:t xml:space="preserve">ammended </w:t>
      </w:r>
      <w:r>
        <w:rPr>
          <w:lang w:val="en"/>
        </w:rPr>
        <w:t>in future revisions of this document.</w:t>
      </w:r>
    </w:p>
    <w:p w14:paraId="376A2AC8" w14:textId="77777777" w:rsidR="00051519" w:rsidRDefault="00051519" w:rsidP="00051519">
      <w:pPr>
        <w:rPr>
          <w:lang w:val="en"/>
        </w:rPr>
      </w:pPr>
    </w:p>
    <w:p w14:paraId="0CAA6FA9" w14:textId="11E0E3B8" w:rsidR="00051519" w:rsidRDefault="00051519" w:rsidP="00051519">
      <w:pPr>
        <w:rPr>
          <w:lang w:val="en"/>
        </w:rPr>
      </w:pPr>
      <w:r>
        <w:rPr>
          <w:lang w:val="en"/>
        </w:rPr>
        <w:t>This document contains a set of responses to the metrics contained in ISO 16363 – itself based on ISO 14721, the reference model for an Open Archival Information System (OAIS).</w:t>
      </w:r>
    </w:p>
    <w:p w14:paraId="7B8CD25F" w14:textId="77777777" w:rsidR="00051519" w:rsidRDefault="00051519" w:rsidP="00051519">
      <w:pPr>
        <w:rPr>
          <w:lang w:val="en"/>
        </w:rPr>
      </w:pPr>
    </w:p>
    <w:p w14:paraId="646F801E" w14:textId="5679AD38" w:rsidR="00051519" w:rsidRPr="00051519" w:rsidRDefault="00051519" w:rsidP="00051519">
      <w:pPr>
        <w:rPr>
          <w:lang w:val="en"/>
        </w:rPr>
      </w:pPr>
      <w:r>
        <w:rPr>
          <w:lang w:val="en"/>
        </w:rPr>
        <w:t xml:space="preserve">Many of the metrics below refer to the host organisation whereas some require detailed discussion that varies according to the type of data being preserved, the associated services, as well as the </w:t>
      </w:r>
      <w:r>
        <w:rPr>
          <w:i/>
          <w:lang w:val="en"/>
        </w:rPr>
        <w:t>designated communities</w:t>
      </w:r>
      <w:r>
        <w:rPr>
          <w:lang w:val="en"/>
        </w:rPr>
        <w:t xml:space="preserve"> who might access or re-use this data.</w:t>
      </w:r>
    </w:p>
    <w:p w14:paraId="52D87883" w14:textId="06E1661D" w:rsidR="00723B81" w:rsidRPr="00723B81" w:rsidRDefault="00723B81" w:rsidP="00723B81">
      <w:pPr>
        <w:pStyle w:val="Heading1"/>
        <w:rPr>
          <w:lang w:val="en"/>
        </w:rPr>
      </w:pPr>
      <w:r w:rsidRPr="00723B81">
        <w:rPr>
          <w:lang w:val="en"/>
        </w:rPr>
        <w:t>3) Organizational Infrastructure</w:t>
      </w:r>
    </w:p>
    <w:p w14:paraId="10171059" w14:textId="5427A79C" w:rsidR="00723B81" w:rsidRDefault="00723B81" w:rsidP="0027588F">
      <w:pPr>
        <w:pStyle w:val="Heading2"/>
      </w:pPr>
      <w:r w:rsidRPr="00723B81">
        <w:t>3.1) Governance and Organizational Viability</w:t>
      </w:r>
    </w:p>
    <w:p w14:paraId="57D0E430" w14:textId="77777777" w:rsidR="00723B81" w:rsidRDefault="00723B81" w:rsidP="00723B81">
      <w:pPr>
        <w:pStyle w:val="Heading3"/>
      </w:pPr>
      <w:r>
        <w:t>3.1.1 - The repository shall have a mission statement that reflects a commitment to the preservation of, long term retention of, management of, and access to digital information.</w:t>
      </w:r>
    </w:p>
    <w:p w14:paraId="4AD39F65" w14:textId="77777777" w:rsidR="003B3C32" w:rsidRDefault="003B3C32" w:rsidP="003B3C32"/>
    <w:p w14:paraId="51E7D74C" w14:textId="3862B98A" w:rsidR="00A61E69" w:rsidRDefault="00A61E69" w:rsidP="00A61E69">
      <w:r>
        <w:t>The policies regarding CERN’s  “Digital Memory” and Publications are described in CERN Operational Circulars 3 &amp; 6</w:t>
      </w:r>
      <w:r w:rsidR="002270F2">
        <w:t xml:space="preserve"> respectively</w:t>
      </w:r>
      <w:r>
        <w:t>.</w:t>
      </w:r>
    </w:p>
    <w:p w14:paraId="6D3546C3" w14:textId="77777777" w:rsidR="00A61E69" w:rsidRDefault="00A61E69" w:rsidP="00A61E69"/>
    <w:p w14:paraId="2FE89C7B" w14:textId="6F4FE3AE" w:rsidR="00A61E69" w:rsidRPr="005A4080" w:rsidRDefault="00A61E69" w:rsidP="00A61E69">
      <w:r>
        <w:t xml:space="preserve">The case of Scientific Data generated by experiments at CERN is more complex and </w:t>
      </w:r>
      <w:r w:rsidR="0035236F">
        <w:t>involves not just the data, but also the associated documentation, software to use / process the data as well as the computing environment in which it runs</w:t>
      </w:r>
      <w:r>
        <w:t>.</w:t>
      </w:r>
    </w:p>
    <w:p w14:paraId="15DC645F" w14:textId="77777777" w:rsidR="0035236F" w:rsidRDefault="0035236F" w:rsidP="003B3C32"/>
    <w:p w14:paraId="66DE83D1" w14:textId="53F6486E" w:rsidR="0035236F" w:rsidRDefault="0035236F" w:rsidP="003B3C32">
      <w:r>
        <w:t>This requires a number of different services that are built in common with those supporting the preservation of CERN’s  “Digital Memory” and Publications.</w:t>
      </w:r>
    </w:p>
    <w:p w14:paraId="43035452" w14:textId="77777777" w:rsidR="0035236F" w:rsidRDefault="0035236F" w:rsidP="003B3C32"/>
    <w:p w14:paraId="412D1163" w14:textId="163602F0" w:rsidR="00343AE4" w:rsidRDefault="0035236F" w:rsidP="00343AE4">
      <w:r>
        <w:t>The</w:t>
      </w:r>
      <w:r w:rsidR="00343AE4">
        <w:t>se</w:t>
      </w:r>
      <w:r>
        <w:t xml:space="preserve"> services are described in an iPRES 2016 paper</w:t>
      </w:r>
      <w:r w:rsidR="00343AE4">
        <w:t xml:space="preserve"> </w:t>
      </w:r>
      <w:r w:rsidR="00343AE4" w:rsidRPr="0032672D">
        <w:rPr>
          <w:b/>
        </w:rPr>
        <w:t>“</w:t>
      </w:r>
      <w:r w:rsidR="00343AE4" w:rsidRPr="0032672D">
        <w:rPr>
          <w:rFonts w:eastAsia="Times New Roman" w:cs="Times New Roman"/>
          <w:b/>
          <w:bCs/>
          <w:color w:val="000000"/>
          <w:bdr w:val="none" w:sz="0" w:space="0" w:color="auto" w:frame="1"/>
          <w:shd w:val="clear" w:color="auto" w:fill="FFFFFF"/>
        </w:rPr>
        <w:t>CERN Services for Long Term Data Preservation”</w:t>
      </w:r>
      <w:r w:rsidR="00343AE4" w:rsidRPr="0032672D">
        <w:rPr>
          <w:rFonts w:eastAsia="Times New Roman" w:cs="Times New Roman"/>
          <w:bCs/>
          <w:color w:val="000000"/>
          <w:bdr w:val="none" w:sz="0" w:space="0" w:color="auto" w:frame="1"/>
          <w:shd w:val="clear" w:color="auto" w:fill="FFFFFF"/>
        </w:rPr>
        <w:t xml:space="preserve">, </w:t>
      </w:r>
      <w:hyperlink r:id="rId8" w:history="1">
        <w:r w:rsidR="00343AE4" w:rsidRPr="0032672D">
          <w:rPr>
            <w:rStyle w:val="Hyperlink"/>
            <w:rFonts w:eastAsia="Times New Roman" w:cs="Times New Roman"/>
            <w:bCs/>
            <w:bdr w:val="none" w:sz="0" w:space="0" w:color="auto" w:frame="1"/>
            <w:shd w:val="clear" w:color="auto" w:fill="FFFFFF"/>
          </w:rPr>
          <w:t>https://cds.cern.ch/record/2195937/</w:t>
        </w:r>
      </w:hyperlink>
      <w:r w:rsidR="00343AE4" w:rsidRPr="00343AE4">
        <w:t>, and were proposed,</w:t>
      </w:r>
      <w:r w:rsidR="00343AE4">
        <w:t xml:space="preserve"> in more preliminary versions, as input to the 2012 workshop on the update of the European Strategy for Particle Physics (ESPP), adopted by a special session of the CERN Council in Brussels in May 2013.</w:t>
      </w:r>
      <w:r w:rsidR="00343AE4" w:rsidRPr="00343AE4">
        <w:t xml:space="preserve"> </w:t>
      </w:r>
      <w:r w:rsidR="00AF3217">
        <w:t xml:space="preserve">This strategy – to be </w:t>
      </w:r>
      <w:r w:rsidR="00AF3217">
        <w:lastRenderedPageBreak/>
        <w:t>reviewed and updated again in the 2019 / 2020 timeframe, includes data preservation as part of the European Strategy (and hence that of CERN).</w:t>
      </w:r>
    </w:p>
    <w:p w14:paraId="0651D863" w14:textId="77777777" w:rsidR="0032672D" w:rsidRDefault="0032672D" w:rsidP="00343AE4"/>
    <w:p w14:paraId="0CE6FBAD" w14:textId="311B6BB5" w:rsidR="0032672D" w:rsidRDefault="0032672D" w:rsidP="00343AE4">
      <w:r>
        <w:t xml:space="preserve">These </w:t>
      </w:r>
      <w:r w:rsidR="00AF3217">
        <w:t xml:space="preserve">above-mentioned </w:t>
      </w:r>
      <w:r>
        <w:t>services are offered to CERN experiments (and are also used by other High Energy Physics institutes outside of CERN) and long-term support is guaranteed by the organization, its strategy and manpower and budget plan.</w:t>
      </w:r>
    </w:p>
    <w:p w14:paraId="66053063" w14:textId="77777777" w:rsidR="0032672D" w:rsidRDefault="0032672D" w:rsidP="00343AE4"/>
    <w:p w14:paraId="4FE1E60F" w14:textId="03FFD347" w:rsidR="0032672D" w:rsidRDefault="0032672D" w:rsidP="00343AE4">
      <w:r>
        <w:t>How these services are used by individual experiments is defined</w:t>
      </w:r>
      <w:r w:rsidR="00AF3217">
        <w:t xml:space="preserve"> and / or refined</w:t>
      </w:r>
      <w:r>
        <w:t xml:space="preserve"> by other documents, e.g.</w:t>
      </w:r>
    </w:p>
    <w:p w14:paraId="2843A066" w14:textId="77777777" w:rsidR="0032672D" w:rsidRDefault="0032672D" w:rsidP="00343AE4"/>
    <w:p w14:paraId="065C7A0A" w14:textId="1A2E57CF" w:rsidR="0032672D" w:rsidRDefault="0032672D" w:rsidP="0032672D">
      <w:pPr>
        <w:pStyle w:val="ListParagraph"/>
        <w:numPr>
          <w:ilvl w:val="0"/>
          <w:numId w:val="14"/>
        </w:numPr>
      </w:pPr>
      <w:r>
        <w:t>For the 4 main LHC experiments (ALICE, ATLAS, CMS and LHCb): through the Memorandum of Understanding of the Worldwide LHC Computing Grid, its Technical Design Report and Computing Model update and through the data preservation and access policies</w:t>
      </w:r>
      <w:r>
        <w:rPr>
          <w:rStyle w:val="FootnoteReference"/>
        </w:rPr>
        <w:footnoteReference w:id="1"/>
      </w:r>
      <w:r>
        <w:t xml:space="preserve"> of the experiments themselves;</w:t>
      </w:r>
    </w:p>
    <w:p w14:paraId="2041183C" w14:textId="79289984" w:rsidR="0032672D" w:rsidRDefault="0032672D" w:rsidP="0032672D">
      <w:pPr>
        <w:pStyle w:val="ListParagraph"/>
        <w:numPr>
          <w:ilvl w:val="0"/>
          <w:numId w:val="14"/>
        </w:numPr>
      </w:pPr>
      <w:r>
        <w:t>For other current and recent experiments: via data management plans per experiment;</w:t>
      </w:r>
    </w:p>
    <w:p w14:paraId="7C4B8B36" w14:textId="0AB9F3A4" w:rsidR="0032672D" w:rsidRDefault="0032672D" w:rsidP="0032672D">
      <w:pPr>
        <w:pStyle w:val="ListParagraph"/>
        <w:numPr>
          <w:ilvl w:val="0"/>
          <w:numId w:val="14"/>
        </w:numPr>
      </w:pPr>
      <w:r>
        <w:t xml:space="preserve">For past experiments (LEP-era onwards): through detailed descriptions in the DPHEP Blueprint document (2012 – </w:t>
      </w:r>
      <w:hyperlink r:id="rId9" w:history="1">
        <w:r w:rsidRPr="0074016D">
          <w:rPr>
            <w:rStyle w:val="Hyperlink"/>
          </w:rPr>
          <w:t>https://arxiv.org/pdf/1205.4667.pdf</w:t>
        </w:r>
      </w:hyperlink>
      <w:r>
        <w:t xml:space="preserve">) and Status Report (2015 – </w:t>
      </w:r>
      <w:hyperlink r:id="rId10" w:history="1">
        <w:r w:rsidRPr="0074016D">
          <w:rPr>
            <w:rStyle w:val="Hyperlink"/>
          </w:rPr>
          <w:t>https://arxiv.org/abs/1512.02019</w:t>
        </w:r>
      </w:hyperlink>
      <w:r>
        <w:t>).</w:t>
      </w:r>
    </w:p>
    <w:p w14:paraId="739DC475" w14:textId="77777777" w:rsidR="0032672D" w:rsidRDefault="0032672D" w:rsidP="00343AE4"/>
    <w:p w14:paraId="3FF8786E" w14:textId="1283C4D1" w:rsidR="00753F51" w:rsidRDefault="0032672D" w:rsidP="00753F51">
      <w:r>
        <w:t xml:space="preserve">CERN offers services for “bit preservation”, software versioning and environment capture, as well as “digital library” services for documentation (the three main “pillars” agreed by the DPHEP Collaboration). However, it is the experiments themselves who must </w:t>
      </w:r>
      <w:r w:rsidR="00BD2F3A">
        <w:t>“</w:t>
      </w:r>
      <w:r w:rsidR="00BB6CBE">
        <w:t>produce</w:t>
      </w:r>
      <w:r w:rsidR="00BD2F3A">
        <w:rPr>
          <w:rStyle w:val="FootnoteReference"/>
        </w:rPr>
        <w:footnoteReference w:id="2"/>
      </w:r>
      <w:r w:rsidR="00BD2F3A">
        <w:t>”</w:t>
      </w:r>
      <w:r>
        <w:t xml:space="preserve"> and </w:t>
      </w:r>
      <w:r w:rsidR="00BD2F3A">
        <w:t xml:space="preserve">subsequently </w:t>
      </w:r>
      <w:r>
        <w:t>verify</w:t>
      </w:r>
      <w:r w:rsidR="00D1253C">
        <w:t xml:space="preserve"> these digital holdings (beyond what is done in terms of pure “bit preservation”, backup and recovery etc, covered by the detailed metrics below).</w:t>
      </w:r>
    </w:p>
    <w:p w14:paraId="03CEF2B0" w14:textId="77777777" w:rsidR="00723B81" w:rsidRDefault="00723B81" w:rsidP="00723B81">
      <w:pPr>
        <w:pStyle w:val="Heading3"/>
      </w:pPr>
      <w:r>
        <w:t>3.1.2 - The repository shall have a Preservation Strategic Plan that defines the approach the repository will take in the long-term support of its mission.</w:t>
      </w:r>
    </w:p>
    <w:p w14:paraId="155611E6" w14:textId="77777777" w:rsidR="00B90D46" w:rsidRDefault="00B90D46" w:rsidP="00753F51"/>
    <w:p w14:paraId="21F96525" w14:textId="3A263764" w:rsidR="00B90D46" w:rsidRDefault="00B90D46" w:rsidP="00753F51">
      <w:r>
        <w:t>The most recent DPHEP Status Report (2015 – revised in 2016) lists the following points under “Future Activities”. Further details, particularly regarding CERN services, are given in the CERN iPRES 2016 paper.</w:t>
      </w:r>
    </w:p>
    <w:p w14:paraId="44598A94" w14:textId="77777777" w:rsidR="00B90D46" w:rsidRDefault="00B90D46" w:rsidP="00753F51"/>
    <w:p w14:paraId="7EC3C274" w14:textId="77777777" w:rsidR="00B90D46" w:rsidRPr="00B90D46" w:rsidRDefault="00B90D46" w:rsidP="00B90D46">
      <w:pPr>
        <w:rPr>
          <w:i/>
        </w:rPr>
      </w:pPr>
      <w:r w:rsidRPr="00B90D46">
        <w:rPr>
          <w:i/>
        </w:rPr>
        <w:t>Over the next period, one can expect progress to be made in the following areas:</w:t>
      </w:r>
    </w:p>
    <w:p w14:paraId="3707C8F0" w14:textId="77777777" w:rsidR="00B90D46" w:rsidRPr="00B90D46" w:rsidRDefault="00B90D46" w:rsidP="00B90D46">
      <w:pPr>
        <w:rPr>
          <w:i/>
        </w:rPr>
      </w:pPr>
    </w:p>
    <w:p w14:paraId="40B46F23" w14:textId="77777777" w:rsidR="00B90D46" w:rsidRPr="00B90D46" w:rsidRDefault="00B90D46" w:rsidP="00B90D46">
      <w:pPr>
        <w:pStyle w:val="ListParagraph"/>
        <w:numPr>
          <w:ilvl w:val="0"/>
          <w:numId w:val="15"/>
        </w:numPr>
        <w:rPr>
          <w:i/>
        </w:rPr>
      </w:pPr>
      <w:r w:rsidRPr="00B90D46">
        <w:rPr>
          <w:i/>
        </w:rPr>
        <w:t>The establishment of a formal policy regarding data preservation for CERN experiments (perhaps linked to the approval process through the Research Board);</w:t>
      </w:r>
    </w:p>
    <w:p w14:paraId="65186449" w14:textId="77777777" w:rsidR="00B90D46" w:rsidRPr="00B90D46" w:rsidRDefault="00B90D46" w:rsidP="00B90D46">
      <w:pPr>
        <w:pStyle w:val="ListParagraph"/>
        <w:numPr>
          <w:ilvl w:val="0"/>
          <w:numId w:val="15"/>
        </w:numPr>
        <w:rPr>
          <w:i/>
        </w:rPr>
      </w:pPr>
      <w:r w:rsidRPr="00B90D46">
        <w:rPr>
          <w:i/>
        </w:rPr>
        <w:t>At least a “self-audit” for the CERN Tier0 and WLCG Tier1 sites in the context of the WLCG project;</w:t>
      </w:r>
    </w:p>
    <w:p w14:paraId="73CC24CD" w14:textId="77777777" w:rsidR="00B90D46" w:rsidRPr="00B90D46" w:rsidRDefault="00B90D46" w:rsidP="00B90D46">
      <w:pPr>
        <w:pStyle w:val="ListParagraph"/>
        <w:numPr>
          <w:ilvl w:val="0"/>
          <w:numId w:val="15"/>
        </w:numPr>
        <w:rPr>
          <w:i/>
        </w:rPr>
      </w:pPr>
      <w:r w:rsidRPr="00B90D46">
        <w:rPr>
          <w:i/>
        </w:rPr>
        <w:t>Further developments in terms of Analysis Capture and Preservation;</w:t>
      </w:r>
    </w:p>
    <w:p w14:paraId="79ACB5F8" w14:textId="77777777" w:rsidR="00B90D46" w:rsidRPr="00B90D46" w:rsidRDefault="00B90D46" w:rsidP="00B90D46">
      <w:pPr>
        <w:pStyle w:val="ListParagraph"/>
        <w:numPr>
          <w:ilvl w:val="0"/>
          <w:numId w:val="15"/>
        </w:numPr>
        <w:rPr>
          <w:i/>
        </w:rPr>
      </w:pPr>
      <w:r w:rsidRPr="00B90D46">
        <w:rPr>
          <w:i/>
        </w:rPr>
        <w:lastRenderedPageBreak/>
        <w:t>Further releases of Open Data through the CERN Open Data Portal;</w:t>
      </w:r>
    </w:p>
    <w:p w14:paraId="71CDE1B4" w14:textId="77777777" w:rsidR="00B90D46" w:rsidRPr="00B90D46" w:rsidRDefault="00B90D46" w:rsidP="00B90D46">
      <w:pPr>
        <w:pStyle w:val="ListParagraph"/>
        <w:numPr>
          <w:ilvl w:val="0"/>
          <w:numId w:val="15"/>
        </w:numPr>
        <w:rPr>
          <w:i/>
        </w:rPr>
      </w:pPr>
      <w:r w:rsidRPr="00B90D46">
        <w:rPr>
          <w:i/>
        </w:rPr>
        <w:t>Harmonization of similar activities across various laboratories and projects;</w:t>
      </w:r>
    </w:p>
    <w:p w14:paraId="0258A4EA" w14:textId="284D54C2" w:rsidR="00B90D46" w:rsidRPr="00B90D46" w:rsidRDefault="00B90D46" w:rsidP="00B90D46">
      <w:pPr>
        <w:pStyle w:val="ListParagraph"/>
        <w:numPr>
          <w:ilvl w:val="0"/>
          <w:numId w:val="15"/>
        </w:numPr>
        <w:rPr>
          <w:i/>
        </w:rPr>
      </w:pPr>
      <w:r w:rsidRPr="00B90D46">
        <w:rPr>
          <w:i/>
        </w:rPr>
        <w:t xml:space="preserve">Extension of DPHEP’s activities to consider </w:t>
      </w:r>
      <w:r w:rsidR="00001EEA">
        <w:rPr>
          <w:i/>
        </w:rPr>
        <w:t xml:space="preserve">also those of </w:t>
      </w:r>
      <w:r w:rsidR="00001EEA" w:rsidRPr="00001EEA">
        <w:t>potential [ future accelerators</w:t>
      </w:r>
      <w:r w:rsidR="00001EEA">
        <w:t xml:space="preserve"> / colliders</w:t>
      </w:r>
      <w:r w:rsidR="00001EEA" w:rsidRPr="00001EEA">
        <w:t xml:space="preserve"> ]</w:t>
      </w:r>
      <w:r w:rsidRPr="00B90D46">
        <w:rPr>
          <w:i/>
        </w:rPr>
        <w:t>;</w:t>
      </w:r>
    </w:p>
    <w:p w14:paraId="1DBB557D" w14:textId="77777777" w:rsidR="00B90D46" w:rsidRPr="00B90D46" w:rsidRDefault="00B90D46" w:rsidP="00B90D46">
      <w:pPr>
        <w:pStyle w:val="ListParagraph"/>
        <w:numPr>
          <w:ilvl w:val="0"/>
          <w:numId w:val="15"/>
        </w:numPr>
        <w:rPr>
          <w:i/>
        </w:rPr>
      </w:pPr>
      <w:r w:rsidRPr="00B90D46">
        <w:rPr>
          <w:i/>
        </w:rPr>
        <w:t>Clarifications regarding funding – of particular importance to past experiments where resources have already become sub-optimal;</w:t>
      </w:r>
    </w:p>
    <w:p w14:paraId="36CB63E5" w14:textId="77777777" w:rsidR="00B90D46" w:rsidRPr="00B90D46" w:rsidRDefault="00B90D46" w:rsidP="00B90D46">
      <w:pPr>
        <w:pStyle w:val="ListParagraph"/>
        <w:numPr>
          <w:ilvl w:val="0"/>
          <w:numId w:val="15"/>
        </w:numPr>
        <w:rPr>
          <w:i/>
        </w:rPr>
      </w:pPr>
      <w:r w:rsidRPr="00B90D46">
        <w:rPr>
          <w:i/>
        </w:rPr>
        <w:t>The continuation of regular meetings and workshops, aligning as much as possible with related events (WLCG, CHEP, HEP Software Foundation etc.);</w:t>
      </w:r>
    </w:p>
    <w:p w14:paraId="33C41D9C" w14:textId="77777777" w:rsidR="00B90D46" w:rsidRPr="00B90D46" w:rsidRDefault="00B90D46" w:rsidP="00B90D46">
      <w:pPr>
        <w:pStyle w:val="ListParagraph"/>
        <w:numPr>
          <w:ilvl w:val="0"/>
          <w:numId w:val="15"/>
        </w:numPr>
        <w:rPr>
          <w:i/>
        </w:rPr>
      </w:pPr>
      <w:r w:rsidRPr="00B90D46">
        <w:rPr>
          <w:i/>
        </w:rPr>
        <w:t>Further input to the next round of ESPP – building on concrete experience, results and remaining challenges.</w:t>
      </w:r>
    </w:p>
    <w:p w14:paraId="05B0C636" w14:textId="77777777" w:rsidR="00B90D46" w:rsidRPr="00B90D46" w:rsidRDefault="00B90D46" w:rsidP="00B90D46">
      <w:pPr>
        <w:rPr>
          <w:i/>
        </w:rPr>
      </w:pPr>
    </w:p>
    <w:p w14:paraId="6727D92F" w14:textId="3D99A9CB" w:rsidR="00B90D46" w:rsidRPr="00B90D46" w:rsidRDefault="00B90D46" w:rsidP="00753F51">
      <w:pPr>
        <w:rPr>
          <w:i/>
        </w:rPr>
      </w:pPr>
      <w:r w:rsidRPr="00B90D46">
        <w:rPr>
          <w:i/>
        </w:rPr>
        <w:t>The long-term management of the Collaboration also has to be considered – up to 2020 but also beyond.</w:t>
      </w:r>
    </w:p>
    <w:p w14:paraId="3540F6F8" w14:textId="77777777" w:rsidR="00723B81" w:rsidRDefault="00723B81" w:rsidP="00723B81">
      <w:pPr>
        <w:pStyle w:val="Heading4"/>
      </w:pPr>
      <w:r>
        <w:t>3.1.2.1 - The repository shall have an appropriate, formal succession plan, contingency plans, and/or escrow arrangements in place in case the repository ceases to operate or the governing or funding institution substantially changes its scope.</w:t>
      </w:r>
    </w:p>
    <w:p w14:paraId="1E721262" w14:textId="77777777" w:rsidR="00753F51" w:rsidRDefault="00753F51" w:rsidP="00753F51"/>
    <w:p w14:paraId="48F93FCA" w14:textId="77777777" w:rsidR="0048352B" w:rsidRDefault="00525C2C" w:rsidP="004F791F">
      <w:pPr>
        <w:jc w:val="both"/>
      </w:pPr>
      <w:r>
        <w:t>The scope and purpose of CERN is defined in the CERN Convention. The short, medium and even long-term plans of the organization are approved by the CERN Council</w:t>
      </w:r>
      <w:r w:rsidR="00865B66">
        <w:t xml:space="preserve"> as described in that</w:t>
      </w:r>
      <w:r>
        <w:t xml:space="preserve"> document, </w:t>
      </w:r>
      <w:r w:rsidR="00865B66">
        <w:t>which</w:t>
      </w:r>
      <w:r>
        <w:t xml:space="preserve"> also describes under which conditions the organization could be dissolved. Given the approved plans for the next decades no change in scope is foreseen during the active phase of the LHC – including its High Luminosity upgrade. </w:t>
      </w:r>
    </w:p>
    <w:p w14:paraId="324402B9" w14:textId="77777777" w:rsidR="0048352B" w:rsidRDefault="0048352B" w:rsidP="004F791F">
      <w:pPr>
        <w:jc w:val="both"/>
      </w:pPr>
    </w:p>
    <w:p w14:paraId="1937F8B2" w14:textId="1D110D9D" w:rsidR="00753F51" w:rsidRPr="00753F51" w:rsidRDefault="00525C2C" w:rsidP="004F791F">
      <w:pPr>
        <w:jc w:val="both"/>
      </w:pPr>
      <w:r>
        <w:t>In HEP the proven model for the handling data in the long term is for copies to be maintained at some of the institutes that were members of a given “experiment”. (For the ALEPH experiment at LEP, each institute was given a full copy of all of the data, the documentation and a complete working software environment).</w:t>
      </w:r>
    </w:p>
    <w:p w14:paraId="184F684E" w14:textId="77777777" w:rsidR="00723B81" w:rsidRDefault="00723B81" w:rsidP="00723B81">
      <w:pPr>
        <w:pStyle w:val="Heading4"/>
      </w:pPr>
      <w:r>
        <w:t>3.1.2.2 - The repository shall monitor its organizational environment to determine when to execute its formal succession plan, contingency plans, and/or escrow arrangements.</w:t>
      </w:r>
    </w:p>
    <w:p w14:paraId="387988F3" w14:textId="77777777" w:rsidR="00236991" w:rsidRDefault="00236991" w:rsidP="00236991"/>
    <w:p w14:paraId="7E640AA6" w14:textId="77777777" w:rsidR="00236991" w:rsidRDefault="00236991" w:rsidP="00236991">
      <w:r>
        <w:t>The organization is closely monitored by its funding agencies through the CERN Council meetings.  These approve not only the scientific programme but also the short and medium-term budgets, as well as long-term goals. Current planning extends out to around 2035 with a longer-term vision being prepared through Future Circular Collider (FCC) and non-collider physics projects. The former could extend the active lifetime of CERN until 2060 or possibly beyond.</w:t>
      </w:r>
    </w:p>
    <w:p w14:paraId="25D3FE2E" w14:textId="77777777" w:rsidR="00236991" w:rsidRDefault="00236991" w:rsidP="00236991"/>
    <w:p w14:paraId="2987980A" w14:textId="7E57DC5C" w:rsidR="00236991" w:rsidRPr="00236991" w:rsidRDefault="00236991" w:rsidP="00236991">
      <w:r>
        <w:t xml:space="preserve">Should a major change of funding and/or focus occur, the Council meetings that take place several times per year would address these at the highest level and would ensure that the necessary succession, contingency and/or escrow plans / arrangements were enacted. </w:t>
      </w:r>
    </w:p>
    <w:p w14:paraId="3A51EE2F" w14:textId="262EC086" w:rsidR="0027588F" w:rsidRDefault="00723B81" w:rsidP="006326AE">
      <w:pPr>
        <w:pStyle w:val="Heading3"/>
      </w:pPr>
      <w:r>
        <w:lastRenderedPageBreak/>
        <w:t>3.1.3 - The repository shall have a Collection Policy or other document that specifies the type of information it will preserve, retain, manage and provide access to.</w:t>
      </w:r>
    </w:p>
    <w:p w14:paraId="20F11700" w14:textId="77777777" w:rsidR="00514892" w:rsidRDefault="00514892" w:rsidP="00514892"/>
    <w:p w14:paraId="2A22E8CE" w14:textId="3001EA0C" w:rsidR="00236991" w:rsidRDefault="00001EEA" w:rsidP="00236991">
      <w:r>
        <w:t>The types of data that the “repository” supports are described in the introduction</w:t>
      </w:r>
      <w:r w:rsidR="00236991">
        <w:t xml:space="preserve"> to this document</w:t>
      </w:r>
      <w:r>
        <w:t>, as well as in Operational Circulars 3, 6.</w:t>
      </w:r>
    </w:p>
    <w:p w14:paraId="35EE72A4" w14:textId="4F592666" w:rsidR="0027588F" w:rsidRDefault="0027588F" w:rsidP="00236991">
      <w:pPr>
        <w:pStyle w:val="Heading2"/>
      </w:pPr>
      <w:r>
        <w:t>3.2) Organizational Structure &amp; Staffing</w:t>
      </w:r>
    </w:p>
    <w:p w14:paraId="17B0BB52" w14:textId="77777777" w:rsidR="0027588F" w:rsidRDefault="0027588F" w:rsidP="0027588F">
      <w:pPr>
        <w:pStyle w:val="Heading3"/>
      </w:pPr>
      <w:r>
        <w:t>3.2.1 - The repository shall have identified and established the duties that it needs to perform and shall have appointed staff with adequate skills and experience to fulfill these duties.</w:t>
      </w:r>
    </w:p>
    <w:p w14:paraId="7C3D052E" w14:textId="77777777" w:rsidR="0034288B" w:rsidRDefault="0034288B" w:rsidP="0034288B"/>
    <w:p w14:paraId="4BFCA0DC" w14:textId="6AB014DF" w:rsidR="0034288B" w:rsidRDefault="0034288B" w:rsidP="0034288B">
      <w:r>
        <w:t>The Operational Circulars related to data preservation identify the roles and responsibilities for the variou</w:t>
      </w:r>
      <w:r w:rsidR="00FC3C1B">
        <w:t>s types of data that the organis</w:t>
      </w:r>
      <w:r>
        <w:t>ation preserves.</w:t>
      </w:r>
    </w:p>
    <w:p w14:paraId="12C300AC" w14:textId="77777777" w:rsidR="0034288B" w:rsidRDefault="0034288B" w:rsidP="0034288B"/>
    <w:p w14:paraId="601745B8" w14:textId="63CB3421" w:rsidR="0034288B" w:rsidRPr="0034288B" w:rsidRDefault="0034288B" w:rsidP="0034288B">
      <w:r>
        <w:t>The services required are described in the paper “CERN Services for LTDP”.</w:t>
      </w:r>
    </w:p>
    <w:p w14:paraId="3C62B165" w14:textId="77777777" w:rsidR="00C75D4B" w:rsidRDefault="00C75D4B" w:rsidP="00C75D4B"/>
    <w:p w14:paraId="313C5020" w14:textId="1001CAFB" w:rsidR="00C75D4B" w:rsidRPr="00C75D4B" w:rsidRDefault="00C75D4B" w:rsidP="00C75D4B">
      <w:r>
        <w:t>Detailed resource planning at the department / project le</w:t>
      </w:r>
      <w:r w:rsidR="005716BA">
        <w:t xml:space="preserve">vel is performed using a Resource Planning </w:t>
      </w:r>
      <w:r>
        <w:t>tool</w:t>
      </w:r>
      <w:r w:rsidR="005716BA">
        <w:t xml:space="preserve"> known as APT</w:t>
      </w:r>
      <w:r w:rsidR="00CB43FB">
        <w:t xml:space="preserve"> (“</w:t>
      </w:r>
      <w:r w:rsidR="00CB43FB" w:rsidRPr="007B4D16">
        <w:t>A</w:t>
      </w:r>
      <w:r w:rsidR="00453F00" w:rsidRPr="007B4D16">
        <w:t>ctivity</w:t>
      </w:r>
      <w:r w:rsidR="00CB43FB">
        <w:t xml:space="preserve"> Planning Tool”)</w:t>
      </w:r>
      <w:r>
        <w:t>.  This supports short (next 2 years), medium (2-5 years) and long term planning (beyond 5 years). This results in "bottom-up" resource planning (i.e. as requested by departments), which needs to be compared with the "top-down" target figures that reflect availability of resources.</w:t>
      </w:r>
    </w:p>
    <w:p w14:paraId="720F060A" w14:textId="77777777" w:rsidR="0027588F" w:rsidRDefault="0027588F" w:rsidP="0027588F">
      <w:pPr>
        <w:pStyle w:val="Heading4"/>
      </w:pPr>
      <w:r>
        <w:t>3.2.1.1 -The repository shall have identified and established the duties that it needs to perform.</w:t>
      </w:r>
    </w:p>
    <w:p w14:paraId="50651255" w14:textId="77777777" w:rsidR="005716BA" w:rsidRDefault="005716BA" w:rsidP="005716BA"/>
    <w:p w14:paraId="507D2ECE" w14:textId="0B2346A5" w:rsidR="005716BA" w:rsidRPr="005716BA" w:rsidRDefault="005716BA" w:rsidP="005716BA">
      <w:pPr>
        <w:jc w:val="both"/>
      </w:pPr>
      <w:r w:rsidRPr="00CB43FB">
        <w:t xml:space="preserve">The APT data are based on the approved CERN plan, organized around a Work Breakdown Structure (WBS) comprising headings such as the LHC </w:t>
      </w:r>
      <w:r w:rsidR="00BD2407">
        <w:t>p</w:t>
      </w:r>
      <w:r w:rsidRPr="00CB43FB">
        <w:t>rogramme, Other</w:t>
      </w:r>
      <w:r w:rsidR="00BD2407">
        <w:t xml:space="preserve"> p</w:t>
      </w:r>
      <w:r w:rsidRPr="00CB43FB">
        <w:t xml:space="preserve">rogrammes, </w:t>
      </w:r>
      <w:r w:rsidRPr="007B4D16">
        <w:t xml:space="preserve">Infrastructure </w:t>
      </w:r>
      <w:r w:rsidR="00BD2407" w:rsidRPr="007B4D16">
        <w:t xml:space="preserve">and services, </w:t>
      </w:r>
      <w:r w:rsidR="00453F00" w:rsidRPr="007B4D16">
        <w:t>Projects</w:t>
      </w:r>
      <w:r w:rsidR="00BD2407" w:rsidRPr="007B4D16">
        <w:t xml:space="preserve"> and studies</w:t>
      </w:r>
      <w:r w:rsidRPr="00CB43FB">
        <w:t xml:space="preserve">. Each heading is further subdivided into sub-headings for example the LHC </w:t>
      </w:r>
      <w:r w:rsidR="00BD2407">
        <w:t>p</w:t>
      </w:r>
      <w:r w:rsidRPr="00CB43FB">
        <w:t xml:space="preserve">rogramme has sub-headings: </w:t>
      </w:r>
      <w:r w:rsidRPr="007B4D16">
        <w:t>LHC machine</w:t>
      </w:r>
      <w:r w:rsidRPr="00CB43FB">
        <w:t>, LHC machine and areas reliability and consolidation, LHC experiments, LHC Computing.</w:t>
      </w:r>
    </w:p>
    <w:p w14:paraId="456791E3" w14:textId="77777777" w:rsidR="0027588F" w:rsidRDefault="0027588F" w:rsidP="0027588F">
      <w:pPr>
        <w:pStyle w:val="Heading4"/>
      </w:pPr>
      <w:r>
        <w:t>3.2.1.2 - The repository shall have the appropriate number of staff to support all functions and services.</w:t>
      </w:r>
    </w:p>
    <w:p w14:paraId="6C5281BF" w14:textId="77777777" w:rsidR="005716BA" w:rsidRDefault="005716BA" w:rsidP="005716BA"/>
    <w:p w14:paraId="3448648A" w14:textId="77DDD6D3" w:rsidR="005716BA" w:rsidRPr="007B4D16" w:rsidRDefault="005716BA" w:rsidP="005716BA">
      <w:pPr>
        <w:rPr>
          <w:rFonts w:ascii="Times" w:eastAsia="Times New Roman" w:hAnsi="Times" w:cs="Times New Roman"/>
          <w:sz w:val="20"/>
          <w:szCs w:val="20"/>
        </w:rPr>
      </w:pPr>
      <w:r w:rsidRPr="00CB43FB">
        <w:t xml:space="preserve">The APT WBS sub-headings are further subdivided into </w:t>
      </w:r>
      <w:r w:rsidR="00BD2407" w:rsidRPr="007B4D16">
        <w:t>smaller units (</w:t>
      </w:r>
      <w:r w:rsidR="007B4D16" w:rsidRPr="007B4D16">
        <w:rPr>
          <w:rFonts w:eastAsia="Times New Roman" w:cs="Times New Roman"/>
          <w:color w:val="000000"/>
          <w:shd w:val="clear" w:color="auto" w:fill="FFFFFF"/>
        </w:rPr>
        <w:t xml:space="preserve">Program-Projects-Activity or </w:t>
      </w:r>
      <w:r w:rsidR="00BD2407" w:rsidRPr="007B4D16">
        <w:t xml:space="preserve">PPAs in CERN terminology) </w:t>
      </w:r>
      <w:r w:rsidRPr="007B4D16">
        <w:t xml:space="preserve">defining the financial and human resources needed as a function of time. Rolling this up to a higher level will provide the number and type of human resources needed for a particular </w:t>
      </w:r>
      <w:r w:rsidR="00BD2407" w:rsidRPr="007B4D16">
        <w:t>activity</w:t>
      </w:r>
      <w:r w:rsidRPr="007B4D16">
        <w:t>.</w:t>
      </w:r>
    </w:p>
    <w:p w14:paraId="13AA7E6D" w14:textId="1F20DE5C" w:rsidR="0027588F" w:rsidRDefault="0027588F" w:rsidP="00744281">
      <w:pPr>
        <w:pStyle w:val="Heading4"/>
      </w:pPr>
      <w:r>
        <w:t>3.2.1.3 - The repository shall have an active professional development program in place that provides staff with skills and expertise development opportunities.</w:t>
      </w:r>
    </w:p>
    <w:p w14:paraId="5CFFFDAD" w14:textId="77777777" w:rsidR="00C75D4B" w:rsidRDefault="00C75D4B" w:rsidP="00C75D4B"/>
    <w:p w14:paraId="50886263" w14:textId="77777777" w:rsidR="00F17642" w:rsidRDefault="00F17642" w:rsidP="00C75D4B">
      <w:r>
        <w:t>CERN performs training at a number of different levels:</w:t>
      </w:r>
    </w:p>
    <w:p w14:paraId="115C59CE" w14:textId="77777777" w:rsidR="00F17642" w:rsidRDefault="00F17642" w:rsidP="00C75D4B"/>
    <w:p w14:paraId="26069299" w14:textId="5AA851CB" w:rsidR="00F17642" w:rsidRPr="00F17642" w:rsidRDefault="00F17642" w:rsidP="00F17642">
      <w:pPr>
        <w:pStyle w:val="ListParagraph"/>
        <w:numPr>
          <w:ilvl w:val="0"/>
          <w:numId w:val="18"/>
        </w:numPr>
      </w:pPr>
      <w:r w:rsidRPr="00F17642">
        <w:lastRenderedPageBreak/>
        <w:t>CERN Academic Training lectures are open to all members of CERN personnel (in particular staff members and fellows, associates, students, users, project associates and apprentices) free of charge.</w:t>
      </w:r>
      <w:r>
        <w:t xml:space="preserve"> The material from these events is archived in the CERN Document Server and a CERN-wide committee agrees on the content of the programme;</w:t>
      </w:r>
    </w:p>
    <w:p w14:paraId="1EEDED4F" w14:textId="5D729846" w:rsidR="00F17642" w:rsidRDefault="00F17642" w:rsidP="00F17642">
      <w:pPr>
        <w:pStyle w:val="ListParagraph"/>
        <w:numPr>
          <w:ilvl w:val="0"/>
          <w:numId w:val="19"/>
        </w:numPr>
      </w:pPr>
      <w:r>
        <w:t>Technical training, organized the Human Resources (HR) department;</w:t>
      </w:r>
    </w:p>
    <w:p w14:paraId="2ACE80E0" w14:textId="7AFA0D32" w:rsidR="00F17642" w:rsidRDefault="00F17642" w:rsidP="00F17642">
      <w:pPr>
        <w:pStyle w:val="ListParagraph"/>
        <w:numPr>
          <w:ilvl w:val="0"/>
          <w:numId w:val="19"/>
        </w:numPr>
      </w:pPr>
      <w:r>
        <w:t>CERN Summer Schools, organized in thematic areas, such as Computing, Physics and Accelerators;</w:t>
      </w:r>
    </w:p>
    <w:p w14:paraId="63B3C424" w14:textId="44F084AB" w:rsidR="00C75D4B" w:rsidRDefault="00F17642" w:rsidP="00F17642">
      <w:pPr>
        <w:pStyle w:val="ListParagraph"/>
        <w:numPr>
          <w:ilvl w:val="0"/>
          <w:numId w:val="19"/>
        </w:numPr>
      </w:pPr>
      <w:r>
        <w:t>Each department has a training officer; each group a training budget and training objectives are part of each staff members annual interview;</w:t>
      </w:r>
    </w:p>
    <w:p w14:paraId="5A1E73F4" w14:textId="6614DAA7" w:rsidR="00F17642" w:rsidRPr="00C75D4B" w:rsidRDefault="00F17642" w:rsidP="00F17642">
      <w:pPr>
        <w:pStyle w:val="ListParagraph"/>
        <w:numPr>
          <w:ilvl w:val="0"/>
          <w:numId w:val="19"/>
        </w:numPr>
      </w:pPr>
      <w:r>
        <w:t>The Activity Planning Tool is used to plan skill needs and the HR department’s Talent Acquisition group helps attract and recruit personnel with the needed skills and potential.</w:t>
      </w:r>
    </w:p>
    <w:p w14:paraId="14739A3C" w14:textId="77777777" w:rsidR="0027588F" w:rsidRDefault="0027588F" w:rsidP="0027588F">
      <w:pPr>
        <w:pStyle w:val="Heading2"/>
      </w:pPr>
      <w:r>
        <w:t>3.3) Procedural Accountability &amp; Preservation Policy Framework</w:t>
      </w:r>
    </w:p>
    <w:p w14:paraId="31F0A3B9" w14:textId="77777777" w:rsidR="0027588F" w:rsidRDefault="0027588F" w:rsidP="0027588F">
      <w:pPr>
        <w:pStyle w:val="Heading3"/>
      </w:pPr>
      <w:r>
        <w:t>3.3.1 - The repository shall have defined its Designated Community and associated knowledge base(s) and shall have these definitions appropriately accessible.</w:t>
      </w:r>
    </w:p>
    <w:p w14:paraId="4D687586" w14:textId="77777777" w:rsidR="009221EA" w:rsidRDefault="009221EA" w:rsidP="009221EA"/>
    <w:p w14:paraId="3B716F25" w14:textId="21002E5F" w:rsidR="009221EA" w:rsidRDefault="009221EA" w:rsidP="009221EA">
      <w:r>
        <w:t>There is an agreed set of high-level Use Cases motivating the preservation of “data” in HEP. These are as follows (iPRES 2016 paper):</w:t>
      </w:r>
    </w:p>
    <w:p w14:paraId="51681526" w14:textId="77777777" w:rsidR="009221EA" w:rsidRDefault="009221EA" w:rsidP="009221EA"/>
    <w:p w14:paraId="0D7AA3CC" w14:textId="77777777" w:rsidR="009221EA" w:rsidRDefault="009221EA" w:rsidP="009221EA">
      <w:pPr>
        <w:rPr>
          <w:lang w:val="en-GB"/>
        </w:rPr>
      </w:pPr>
      <w:r w:rsidRPr="009221EA">
        <w:rPr>
          <w:lang w:val="en-GB"/>
        </w:rPr>
        <w:t>The basic Use Cases are as follows:</w:t>
      </w:r>
    </w:p>
    <w:p w14:paraId="025E98D4" w14:textId="77777777" w:rsidR="009221EA" w:rsidRPr="009221EA" w:rsidRDefault="009221EA" w:rsidP="009221EA">
      <w:pPr>
        <w:rPr>
          <w:lang w:val="en-GB"/>
        </w:rPr>
      </w:pPr>
    </w:p>
    <w:p w14:paraId="34EA79BD" w14:textId="77777777" w:rsidR="009221EA" w:rsidRPr="009221EA" w:rsidRDefault="009221EA" w:rsidP="009221EA">
      <w:pPr>
        <w:numPr>
          <w:ilvl w:val="0"/>
          <w:numId w:val="3"/>
        </w:numPr>
        <w:rPr>
          <w:lang w:val="en-GB"/>
        </w:rPr>
      </w:pPr>
      <w:r w:rsidRPr="009221EA">
        <w:rPr>
          <w:lang w:val="en-GB"/>
        </w:rPr>
        <w:t>Bit preservation as a basic “service” on which higher level components can build;</w:t>
      </w:r>
    </w:p>
    <w:p w14:paraId="224D1D15" w14:textId="77777777" w:rsidR="009221EA" w:rsidRPr="009221EA" w:rsidRDefault="009221EA" w:rsidP="009221EA">
      <w:pPr>
        <w:numPr>
          <w:ilvl w:val="0"/>
          <w:numId w:val="2"/>
        </w:numPr>
        <w:rPr>
          <w:lang w:val="en-GB"/>
        </w:rPr>
      </w:pPr>
      <w:r w:rsidRPr="009221EA">
        <w:rPr>
          <w:lang w:val="en-GB"/>
        </w:rPr>
        <w:t>Motivation: Data taken by the experiments should be preserved at least during the lifetime of the experiments and preferably until “redundant”.</w:t>
      </w:r>
    </w:p>
    <w:p w14:paraId="036164CE" w14:textId="77777777" w:rsidR="009221EA" w:rsidRPr="009221EA" w:rsidRDefault="009221EA" w:rsidP="009221EA">
      <w:pPr>
        <w:numPr>
          <w:ilvl w:val="0"/>
          <w:numId w:val="3"/>
        </w:numPr>
        <w:rPr>
          <w:lang w:val="en-GB"/>
        </w:rPr>
      </w:pPr>
      <w:r w:rsidRPr="009221EA">
        <w:rPr>
          <w:lang w:val="en-GB"/>
        </w:rPr>
        <w:t xml:space="preserve"> Preserve data, software, and </w:t>
      </w:r>
      <w:r w:rsidRPr="009221EA">
        <w:rPr>
          <w:u w:val="single"/>
          <w:lang w:val="en-GB"/>
        </w:rPr>
        <w:t>know-how</w:t>
      </w:r>
      <w:r w:rsidRPr="009221EA">
        <w:rPr>
          <w:u w:val="single"/>
          <w:vertAlign w:val="superscript"/>
          <w:lang w:val="en-GB"/>
        </w:rPr>
        <w:footnoteReference w:id="3"/>
      </w:r>
      <w:r w:rsidRPr="009221EA">
        <w:rPr>
          <w:lang w:val="en-GB"/>
        </w:rPr>
        <w:t xml:space="preserve"> in the collaborations;</w:t>
      </w:r>
    </w:p>
    <w:p w14:paraId="4A64F2D3" w14:textId="77777777" w:rsidR="009221EA" w:rsidRPr="009221EA" w:rsidRDefault="009221EA" w:rsidP="009221EA">
      <w:pPr>
        <w:numPr>
          <w:ilvl w:val="0"/>
          <w:numId w:val="2"/>
        </w:numPr>
        <w:rPr>
          <w:lang w:val="en-GB"/>
        </w:rPr>
      </w:pPr>
      <w:r w:rsidRPr="009221EA">
        <w:rPr>
          <w:lang w:val="en-GB"/>
        </w:rPr>
        <w:t xml:space="preserve"> This is the foundation for the long-term DP strategy</w:t>
      </w:r>
    </w:p>
    <w:p w14:paraId="1DC46724" w14:textId="77777777" w:rsidR="009221EA" w:rsidRPr="009221EA" w:rsidRDefault="009221EA" w:rsidP="009221EA">
      <w:pPr>
        <w:numPr>
          <w:ilvl w:val="0"/>
          <w:numId w:val="2"/>
        </w:numPr>
        <w:rPr>
          <w:lang w:val="en-GB"/>
        </w:rPr>
      </w:pPr>
      <w:r w:rsidRPr="009221EA">
        <w:rPr>
          <w:lang w:val="en-GB"/>
        </w:rPr>
        <w:t>Analysis reproducibility: Data preservation alongside software evolution</w:t>
      </w:r>
    </w:p>
    <w:p w14:paraId="12B5856E" w14:textId="77777777" w:rsidR="009221EA" w:rsidRPr="009221EA" w:rsidRDefault="009221EA" w:rsidP="009221EA">
      <w:pPr>
        <w:numPr>
          <w:ilvl w:val="0"/>
          <w:numId w:val="3"/>
        </w:numPr>
        <w:rPr>
          <w:lang w:val="en-GB"/>
        </w:rPr>
      </w:pPr>
      <w:r w:rsidRPr="009221EA">
        <w:rPr>
          <w:lang w:val="en-GB"/>
        </w:rPr>
        <w:t>Share data and associated software with (wider) scientific community, such as theorists or physicists not part of the original collaboration</w:t>
      </w:r>
    </w:p>
    <w:p w14:paraId="58CC8D06" w14:textId="77777777" w:rsidR="009221EA" w:rsidRPr="009221EA" w:rsidRDefault="009221EA" w:rsidP="009221EA">
      <w:pPr>
        <w:numPr>
          <w:ilvl w:val="0"/>
          <w:numId w:val="4"/>
        </w:numPr>
        <w:rPr>
          <w:lang w:val="en-GB"/>
        </w:rPr>
      </w:pPr>
      <w:r w:rsidRPr="009221EA">
        <w:rPr>
          <w:lang w:val="en-GB"/>
        </w:rPr>
        <w:t xml:space="preserve"> This brings additional requirements:</w:t>
      </w:r>
    </w:p>
    <w:p w14:paraId="3A4B04A2" w14:textId="77777777" w:rsidR="009221EA" w:rsidRPr="009221EA" w:rsidRDefault="009221EA" w:rsidP="009221EA">
      <w:pPr>
        <w:numPr>
          <w:ilvl w:val="1"/>
          <w:numId w:val="4"/>
        </w:numPr>
        <w:rPr>
          <w:lang w:val="en-GB"/>
        </w:rPr>
      </w:pPr>
      <w:r w:rsidRPr="009221EA">
        <w:rPr>
          <w:lang w:val="en-GB"/>
        </w:rPr>
        <w:t>Storage for the released data, distributed computing resources to access and process it</w:t>
      </w:r>
    </w:p>
    <w:p w14:paraId="6AFD9271" w14:textId="77777777" w:rsidR="009221EA" w:rsidRPr="009221EA" w:rsidRDefault="009221EA" w:rsidP="009221EA">
      <w:pPr>
        <w:numPr>
          <w:ilvl w:val="1"/>
          <w:numId w:val="4"/>
        </w:numPr>
        <w:rPr>
          <w:lang w:val="en-GB"/>
        </w:rPr>
      </w:pPr>
      <w:r w:rsidRPr="009221EA">
        <w:rPr>
          <w:lang w:val="en-GB"/>
        </w:rPr>
        <w:t>Accessibility issues, intellectual property</w:t>
      </w:r>
    </w:p>
    <w:p w14:paraId="1CE7DFDB" w14:textId="77777777" w:rsidR="009221EA" w:rsidRPr="009221EA" w:rsidRDefault="009221EA" w:rsidP="009221EA">
      <w:pPr>
        <w:numPr>
          <w:ilvl w:val="1"/>
          <w:numId w:val="4"/>
        </w:numPr>
        <w:rPr>
          <w:lang w:val="en-GB"/>
        </w:rPr>
      </w:pPr>
      <w:r w:rsidRPr="009221EA">
        <w:rPr>
          <w:lang w:val="en-GB"/>
        </w:rPr>
        <w:t>Formalising and simplifying data formats and analysis procedures</w:t>
      </w:r>
    </w:p>
    <w:p w14:paraId="06839021" w14:textId="77777777" w:rsidR="009221EA" w:rsidRDefault="009221EA" w:rsidP="009221EA">
      <w:pPr>
        <w:numPr>
          <w:ilvl w:val="1"/>
          <w:numId w:val="4"/>
        </w:numPr>
        <w:rPr>
          <w:lang w:val="en-GB"/>
        </w:rPr>
      </w:pPr>
      <w:r w:rsidRPr="009221EA">
        <w:rPr>
          <w:lang w:val="en-GB"/>
        </w:rPr>
        <w:t>Documentation targeted at the specific consumer communities (lower knowledge base).</w:t>
      </w:r>
    </w:p>
    <w:p w14:paraId="600DC080" w14:textId="77777777" w:rsidR="009221EA" w:rsidRDefault="009221EA" w:rsidP="009221EA">
      <w:pPr>
        <w:ind w:left="1440"/>
        <w:rPr>
          <w:lang w:val="en-GB"/>
        </w:rPr>
      </w:pPr>
    </w:p>
    <w:p w14:paraId="0219AB54" w14:textId="2DCE57DF" w:rsidR="009221EA" w:rsidRDefault="009221EA" w:rsidP="009221EA">
      <w:pPr>
        <w:rPr>
          <w:lang w:val="en-GB"/>
        </w:rPr>
      </w:pPr>
      <w:r>
        <w:rPr>
          <w:lang w:val="en-GB"/>
        </w:rPr>
        <w:t>In other words, the main Designated Communities are:</w:t>
      </w:r>
    </w:p>
    <w:p w14:paraId="0A9EE1F8" w14:textId="77777777" w:rsidR="009221EA" w:rsidRDefault="009221EA" w:rsidP="009221EA">
      <w:pPr>
        <w:rPr>
          <w:lang w:val="en-GB"/>
        </w:rPr>
      </w:pPr>
    </w:p>
    <w:p w14:paraId="0C4F970D" w14:textId="6CC9B4C9" w:rsidR="009221EA" w:rsidRDefault="009221EA" w:rsidP="009221EA">
      <w:pPr>
        <w:pStyle w:val="ListParagraph"/>
        <w:numPr>
          <w:ilvl w:val="0"/>
          <w:numId w:val="5"/>
        </w:numPr>
        <w:rPr>
          <w:lang w:val="en-GB"/>
        </w:rPr>
      </w:pPr>
      <w:r>
        <w:rPr>
          <w:lang w:val="en-GB"/>
        </w:rPr>
        <w:t xml:space="preserve">The “Collaborations” themselves, i.e. the large “experiments” responsible for the design, construction and operation of the detectors, plus the data taking, production and analysis of the data, which includes the development of the </w:t>
      </w:r>
      <w:r>
        <w:rPr>
          <w:lang w:val="en-GB"/>
        </w:rPr>
        <w:lastRenderedPageBreak/>
        <w:t>necessary software, operations tools, documentation and so forth. These collaborations have internal training programmes for “newcomers”, plus internal support mechanisms;</w:t>
      </w:r>
    </w:p>
    <w:p w14:paraId="662D23F7" w14:textId="3C3A100D" w:rsidR="009221EA" w:rsidRDefault="009221EA" w:rsidP="009221EA">
      <w:pPr>
        <w:pStyle w:val="ListParagraph"/>
        <w:numPr>
          <w:ilvl w:val="0"/>
          <w:numId w:val="5"/>
        </w:numPr>
        <w:rPr>
          <w:lang w:val="en-GB"/>
        </w:rPr>
      </w:pPr>
      <w:r>
        <w:rPr>
          <w:lang w:val="en-GB"/>
        </w:rPr>
        <w:t>Theoretical physicists, typically those specialising in building (computer) models of (potential) underlying physics processes, who wish to compare their calculations with “real data”;</w:t>
      </w:r>
    </w:p>
    <w:p w14:paraId="413F80B9" w14:textId="3670D1AC" w:rsidR="009221EA" w:rsidRDefault="009221EA" w:rsidP="009221EA">
      <w:pPr>
        <w:pStyle w:val="ListParagraph"/>
        <w:numPr>
          <w:ilvl w:val="0"/>
          <w:numId w:val="5"/>
        </w:numPr>
        <w:rPr>
          <w:lang w:val="en-GB"/>
        </w:rPr>
      </w:pPr>
      <w:r>
        <w:rPr>
          <w:lang w:val="en-GB"/>
        </w:rPr>
        <w:t>Experimental physicists outside of the original collaboration, well versed in particle physics and the principles of analysis but less informed of the internal workings of a specific collaboration;</w:t>
      </w:r>
    </w:p>
    <w:p w14:paraId="1A868A35" w14:textId="6539307A" w:rsidR="009221EA" w:rsidRDefault="009221EA" w:rsidP="009221EA">
      <w:pPr>
        <w:pStyle w:val="ListParagraph"/>
        <w:numPr>
          <w:ilvl w:val="0"/>
          <w:numId w:val="5"/>
        </w:numPr>
        <w:rPr>
          <w:lang w:val="en-GB"/>
        </w:rPr>
      </w:pPr>
      <w:r>
        <w:rPr>
          <w:lang w:val="en-GB"/>
        </w:rPr>
        <w:t>Specific “educational outreach” programmes, including secondary-level school students.</w:t>
      </w:r>
    </w:p>
    <w:p w14:paraId="2C3E185B" w14:textId="77777777" w:rsidR="009221EA" w:rsidRDefault="009221EA" w:rsidP="009221EA">
      <w:pPr>
        <w:rPr>
          <w:lang w:val="en-GB"/>
        </w:rPr>
      </w:pPr>
    </w:p>
    <w:p w14:paraId="6F19C997" w14:textId="425797E0" w:rsidR="009221EA" w:rsidRDefault="009221EA" w:rsidP="009221EA">
      <w:pPr>
        <w:rPr>
          <w:lang w:val="en-GB"/>
        </w:rPr>
      </w:pPr>
      <w:r>
        <w:rPr>
          <w:lang w:val="en-GB"/>
        </w:rPr>
        <w:t>More details of specific designated communities can be found in the “Data Management Plans” of a given experiment or (e.g.) outreach project.</w:t>
      </w:r>
    </w:p>
    <w:p w14:paraId="34698471" w14:textId="77777777" w:rsidR="0069474A" w:rsidRDefault="0069474A" w:rsidP="009221EA">
      <w:pPr>
        <w:rPr>
          <w:lang w:val="en-GB"/>
        </w:rPr>
      </w:pPr>
    </w:p>
    <w:p w14:paraId="1EFFA4A4" w14:textId="6B608D65" w:rsidR="009221EA" w:rsidRPr="0069474A" w:rsidRDefault="0069474A" w:rsidP="009221EA">
      <w:pPr>
        <w:rPr>
          <w:lang w:val="en-GB"/>
        </w:rPr>
      </w:pPr>
      <w:r>
        <w:rPr>
          <w:lang w:val="en-GB"/>
        </w:rPr>
        <w:t>Further information can be found via the CERN Open Data portal (</w:t>
      </w:r>
      <w:hyperlink r:id="rId11" w:history="1">
        <w:r w:rsidRPr="0071276F">
          <w:rPr>
            <w:rStyle w:val="Hyperlink"/>
            <w:lang w:val="en-GB"/>
          </w:rPr>
          <w:t>http://opendata.cern.ch/</w:t>
        </w:r>
      </w:hyperlink>
      <w:r>
        <w:rPr>
          <w:lang w:val="en-GB"/>
        </w:rPr>
        <w:t>) and via the “Learning Resources” page (</w:t>
      </w:r>
      <w:hyperlink r:id="rId12" w:history="1">
        <w:r w:rsidRPr="0071276F">
          <w:rPr>
            <w:rStyle w:val="Hyperlink"/>
            <w:lang w:val="en-GB"/>
          </w:rPr>
          <w:t>http://opendata.cern.ch/resources</w:t>
        </w:r>
      </w:hyperlink>
      <w:r>
        <w:rPr>
          <w:lang w:val="en-GB"/>
        </w:rPr>
        <w:t>) that provides further training material and documentation.</w:t>
      </w:r>
    </w:p>
    <w:p w14:paraId="77C5C553" w14:textId="77777777" w:rsidR="0027588F" w:rsidRDefault="0027588F" w:rsidP="0027588F">
      <w:pPr>
        <w:pStyle w:val="Heading3"/>
      </w:pPr>
      <w:r>
        <w:t>3.3.2 - The repository shall have Preservation Policies in place to ensure its Preservation Strategic Plan will be met.</w:t>
      </w:r>
    </w:p>
    <w:p w14:paraId="074DC29A" w14:textId="77777777" w:rsidR="006F119E" w:rsidRDefault="006F119E" w:rsidP="006F119E"/>
    <w:p w14:paraId="1F1B01A0" w14:textId="27267173" w:rsidR="006F119E" w:rsidRDefault="006F119E" w:rsidP="006F119E">
      <w:r>
        <w:t xml:space="preserve">The DPHEP Collaboration holds regular workshops for the HEP community worldwide. Through these workshops, general </w:t>
      </w:r>
      <w:r w:rsidR="00C2493E">
        <w:t xml:space="preserve">and documented </w:t>
      </w:r>
      <w:r>
        <w:t xml:space="preserve">consensus </w:t>
      </w:r>
      <w:r w:rsidR="00C2493E">
        <w:t xml:space="preserve">has been reached </w:t>
      </w:r>
      <w:r>
        <w:t>that “Data Preservation” in HEP implies the preservation of:</w:t>
      </w:r>
    </w:p>
    <w:p w14:paraId="092BAD09" w14:textId="77777777" w:rsidR="006F119E" w:rsidRDefault="006F119E" w:rsidP="006F119E"/>
    <w:p w14:paraId="4D2F4099" w14:textId="15680865" w:rsidR="006F119E" w:rsidRDefault="006F119E" w:rsidP="006F119E">
      <w:pPr>
        <w:pStyle w:val="ListParagraph"/>
        <w:numPr>
          <w:ilvl w:val="0"/>
          <w:numId w:val="7"/>
        </w:numPr>
      </w:pPr>
      <w:r>
        <w:t>The data itself  (“bit preservation”);</w:t>
      </w:r>
    </w:p>
    <w:p w14:paraId="1B7FEB06" w14:textId="2A25ADD2" w:rsidR="006F119E" w:rsidRDefault="006F119E" w:rsidP="006F119E">
      <w:pPr>
        <w:pStyle w:val="ListParagraph"/>
        <w:numPr>
          <w:ilvl w:val="0"/>
          <w:numId w:val="7"/>
        </w:numPr>
      </w:pPr>
      <w:r>
        <w:t>Documentation and knowledge;</w:t>
      </w:r>
    </w:p>
    <w:p w14:paraId="5316BB8B" w14:textId="08329359" w:rsidR="006F119E" w:rsidRDefault="006F119E" w:rsidP="006F119E">
      <w:pPr>
        <w:pStyle w:val="ListParagraph"/>
        <w:numPr>
          <w:ilvl w:val="0"/>
          <w:numId w:val="7"/>
        </w:numPr>
      </w:pPr>
      <w:r>
        <w:t>The software and associated environment.</w:t>
      </w:r>
    </w:p>
    <w:p w14:paraId="028A2177" w14:textId="77777777" w:rsidR="006F119E" w:rsidRDefault="006F119E" w:rsidP="006F119E"/>
    <w:p w14:paraId="64834379" w14:textId="58193B66" w:rsidR="006F119E" w:rsidRDefault="006F119E" w:rsidP="006F119E">
      <w:r>
        <w:t xml:space="preserve">Success in achieving its goals (see high-level Use Cases) comes from both </w:t>
      </w:r>
      <w:r>
        <w:rPr>
          <w:i/>
        </w:rPr>
        <w:t>theory</w:t>
      </w:r>
      <w:r>
        <w:t xml:space="preserve"> (i.e. ISO 16363 certification) and </w:t>
      </w:r>
      <w:r>
        <w:rPr>
          <w:i/>
        </w:rPr>
        <w:t>practice</w:t>
      </w:r>
      <w:r>
        <w:t xml:space="preserve"> (i.e. ability to share data successfully with designated communities, reproduce results etc.)</w:t>
      </w:r>
    </w:p>
    <w:p w14:paraId="62B1BFD5" w14:textId="77777777" w:rsidR="006F119E" w:rsidRDefault="006F119E" w:rsidP="006F119E"/>
    <w:p w14:paraId="33871056" w14:textId="2302DF6E" w:rsidR="00277208" w:rsidRDefault="006F119E" w:rsidP="00277208">
      <w:r>
        <w:t xml:space="preserve">The DPHEP Collaboration produces regular status reports that analyse the status of data preservation in HEP, outline the goals for the next period and high-light any concerns. </w:t>
      </w:r>
      <w:r w:rsidR="00277208">
        <w:t xml:space="preserve"> (See DPHEP Blueprint document (2012 – </w:t>
      </w:r>
      <w:hyperlink r:id="rId13" w:history="1">
        <w:r w:rsidR="00277208" w:rsidRPr="0074016D">
          <w:rPr>
            <w:rStyle w:val="Hyperlink"/>
          </w:rPr>
          <w:t>https://arxiv.org/pdf/1205.4667.pdf</w:t>
        </w:r>
      </w:hyperlink>
      <w:r w:rsidR="00277208">
        <w:t xml:space="preserve">) and Status Report (2015 – </w:t>
      </w:r>
      <w:hyperlink r:id="rId14" w:history="1">
        <w:r w:rsidR="00277208" w:rsidRPr="0074016D">
          <w:rPr>
            <w:rStyle w:val="Hyperlink"/>
          </w:rPr>
          <w:t>https://arxiv.org/abs/1512.02019</w:t>
        </w:r>
      </w:hyperlink>
      <w:r w:rsidR="00277208">
        <w:t>).</w:t>
      </w:r>
    </w:p>
    <w:p w14:paraId="5A8238E5" w14:textId="77777777" w:rsidR="006F119E" w:rsidRDefault="006F119E" w:rsidP="006F119E"/>
    <w:p w14:paraId="50CD9D41" w14:textId="02F2D590" w:rsidR="006F119E" w:rsidRDefault="00153029" w:rsidP="006F119E">
      <w:r>
        <w:t>Working through international bodies, such as the Research Data Alliance, by participating in relevant conferences and workshops (iPRES, iDCC, PV etc.) HEP remains aware of – and were appropriate influences – best practices in long-term data preservation.</w:t>
      </w:r>
    </w:p>
    <w:p w14:paraId="5C7EAE55" w14:textId="77777777" w:rsidR="00153029" w:rsidRDefault="00153029" w:rsidP="006F119E"/>
    <w:p w14:paraId="38F7B142" w14:textId="1FEFC7C2" w:rsidR="00153029" w:rsidRDefault="00153029" w:rsidP="006F119E">
      <w:r>
        <w:t>The long-term strategy (aka “2020 vision”), approved by the International Committee for Future Accelerators (ICFA) in 2013, includes a statement on such collaboration:</w:t>
      </w:r>
    </w:p>
    <w:p w14:paraId="3BE427CB" w14:textId="77777777" w:rsidR="00153029" w:rsidRDefault="00153029" w:rsidP="006F119E"/>
    <w:p w14:paraId="2FE40AE1" w14:textId="0CF38C31" w:rsidR="006F119E" w:rsidRPr="00153029" w:rsidRDefault="00153029" w:rsidP="006F119E">
      <w:pPr>
        <w:numPr>
          <w:ilvl w:val="0"/>
          <w:numId w:val="8"/>
        </w:numPr>
        <w:rPr>
          <w:i/>
        </w:rPr>
      </w:pPr>
      <w:r w:rsidRPr="00153029">
        <w:rPr>
          <w:i/>
        </w:rPr>
        <w:lastRenderedPageBreak/>
        <w:t>(By 2020), b</w:t>
      </w:r>
      <w:r w:rsidR="00D10796" w:rsidRPr="00153029">
        <w:rPr>
          <w:i/>
        </w:rPr>
        <w:t xml:space="preserve">est practices, tools and services </w:t>
      </w:r>
      <w:r w:rsidRPr="00153029">
        <w:rPr>
          <w:i/>
        </w:rPr>
        <w:t>(</w:t>
      </w:r>
      <w:r>
        <w:rPr>
          <w:i/>
        </w:rPr>
        <w:t xml:space="preserve">for LTDP in HEP </w:t>
      </w:r>
      <w:r w:rsidRPr="00153029">
        <w:rPr>
          <w:i/>
        </w:rPr>
        <w:t xml:space="preserve">should be) </w:t>
      </w:r>
      <w:r w:rsidR="00D10796" w:rsidRPr="00153029">
        <w:rPr>
          <w:i/>
        </w:rPr>
        <w:t>well run-in, fully documented and sustainable; built in common with other disciplines, based on standards</w:t>
      </w:r>
      <w:r w:rsidRPr="00153029">
        <w:rPr>
          <w:i/>
        </w:rPr>
        <w:t>.</w:t>
      </w:r>
    </w:p>
    <w:p w14:paraId="792FE82D" w14:textId="77777777" w:rsidR="0027588F" w:rsidRDefault="0027588F" w:rsidP="0027588F">
      <w:pPr>
        <w:pStyle w:val="Heading4"/>
      </w:pPr>
      <w:r>
        <w:t>3.3.2.1 - The repository shall have mechanisms for review, update, and ongoing development of its Preservation Policies as the repository grows and as technology and community practice evolve.</w:t>
      </w:r>
    </w:p>
    <w:p w14:paraId="059BD286" w14:textId="77777777" w:rsidR="0034288B" w:rsidRDefault="0034288B" w:rsidP="0034288B"/>
    <w:p w14:paraId="3BB7F52A" w14:textId="25068095" w:rsidR="0034288B" w:rsidRPr="0034288B" w:rsidRDefault="0034288B" w:rsidP="0034288B">
      <w:r>
        <w:t>CERN Preservation Policies are developed together with other HEP organisations around the world via the DPHEP Collaboration. Close contacts are maintained with other disciplines, through conferences and workshops (IDCC, iPRES, PV, PASIG etc.) and through the working and interest groups of organisations such as the Research Data Alliance (RDA).</w:t>
      </w:r>
    </w:p>
    <w:p w14:paraId="3DEAFD42" w14:textId="32EFC55E" w:rsidR="0027588F" w:rsidRDefault="0027588F" w:rsidP="00506D3E">
      <w:pPr>
        <w:pStyle w:val="Heading3"/>
        <w:numPr>
          <w:ilvl w:val="2"/>
          <w:numId w:val="7"/>
        </w:numPr>
      </w:pPr>
      <w:r>
        <w:t>- The repository shall have a documented history of the changes to its operations, procedures, software, and hardware.</w:t>
      </w:r>
    </w:p>
    <w:p w14:paraId="2A239AA0" w14:textId="77777777" w:rsidR="00506D3E" w:rsidRDefault="00506D3E" w:rsidP="00506D3E"/>
    <w:p w14:paraId="2F25161E" w14:textId="7E6B2803" w:rsidR="00506D3E" w:rsidRPr="00506D3E" w:rsidRDefault="00506D3E" w:rsidP="00506D3E">
      <w:r w:rsidRPr="00CB43FB">
        <w:rPr>
          <w:highlight w:val="yellow"/>
        </w:rPr>
        <w:t>IT / WLCG Operations…</w:t>
      </w:r>
      <w:r w:rsidR="00CB43FB" w:rsidRPr="00CB43FB">
        <w:rPr>
          <w:highlight w:val="yellow"/>
        </w:rPr>
        <w:t xml:space="preserve"> See also section 5.</w:t>
      </w:r>
    </w:p>
    <w:p w14:paraId="7B02B101" w14:textId="77777777" w:rsidR="0027588F" w:rsidRDefault="0027588F" w:rsidP="0027588F">
      <w:pPr>
        <w:pStyle w:val="Heading3"/>
      </w:pPr>
      <w:r>
        <w:t>3.3.4 - The repository shall commit to transparency and accountability in all actions supporting the operation and management of the repository that affect the preservation of digital content over time.</w:t>
      </w:r>
    </w:p>
    <w:p w14:paraId="3B187B61" w14:textId="77777777" w:rsidR="007403F7" w:rsidRDefault="007403F7" w:rsidP="007403F7"/>
    <w:p w14:paraId="35420DF5" w14:textId="31EB76E6" w:rsidR="007403F7" w:rsidRDefault="007403F7" w:rsidP="007403F7">
      <w:pPr>
        <w:pStyle w:val="ListParagraph"/>
        <w:numPr>
          <w:ilvl w:val="0"/>
          <w:numId w:val="16"/>
        </w:numPr>
      </w:pPr>
      <w:r>
        <w:t>Financial accountability: this is done via the detailed reports to the CERN Council and its sub-committees (e.g. the Finance Committee), as well as via detailed budget analyses of major projects such as the Worldwide LHC Computing Grid that supports the LHC experiments. See also section 3.4;</w:t>
      </w:r>
    </w:p>
    <w:p w14:paraId="64BA1C3B" w14:textId="1DFB61DA" w:rsidR="007403F7" w:rsidRPr="007403F7" w:rsidRDefault="007403F7" w:rsidP="007403F7">
      <w:pPr>
        <w:pStyle w:val="ListParagraph"/>
        <w:numPr>
          <w:ilvl w:val="0"/>
          <w:numId w:val="16"/>
        </w:numPr>
      </w:pPr>
      <w:r>
        <w:t>Technical accountability:</w:t>
      </w:r>
      <w:r w:rsidR="00DC7194">
        <w:t xml:space="preserve"> regular reports regarding LTDP activities are made via DPHEP Status Reports, via DPHEP workshops and via technical papers presented at International Conferences and Workshops. These reports are all stored in the CERN Document Server and are assigned Digital Object Identifiers for easy reference.</w:t>
      </w:r>
    </w:p>
    <w:p w14:paraId="314D6003" w14:textId="77777777" w:rsidR="0027588F" w:rsidRDefault="0027588F" w:rsidP="0027588F">
      <w:pPr>
        <w:pStyle w:val="Heading3"/>
      </w:pPr>
      <w:r>
        <w:t>3.3.5 - The repository shall define, collect, track, and appropriately provide its information integrity measurements.</w:t>
      </w:r>
    </w:p>
    <w:p w14:paraId="41C3AAD5" w14:textId="77777777" w:rsidR="00E1356D" w:rsidRDefault="00E1356D" w:rsidP="00E1356D"/>
    <w:p w14:paraId="0CF2BE6F"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All data written to the CERN CASTOR archive is protected with an adler32 [X] file-level checksum that is generated at file creation. File-level checksums should also be pre-created by the experiments prior to file uploads and are then compared to the computed checksum in order to detect ingestion-time corruptions. File-level checksums are then also used for protecting against corruptions in data transfers between the user and the different CASTOR software layers. The checksum is stored separately from the data (cf also 4.4.1.2) and is checked every time a file is recalled or moved within CASTOR. In case of a mismatch between checksum and received data, the file transfer fail and a corresponding error message is sent back to the user.</w:t>
      </w:r>
    </w:p>
    <w:p w14:paraId="578055A8" w14:textId="77777777" w:rsidR="00E1356D" w:rsidRPr="00C552E0" w:rsidRDefault="00E1356D" w:rsidP="00E1356D">
      <w:pPr>
        <w:widowControl w:val="0"/>
        <w:autoSpaceDE w:val="0"/>
        <w:autoSpaceDN w:val="0"/>
        <w:adjustRightInd w:val="0"/>
        <w:rPr>
          <w:rFonts w:cs="Arial"/>
          <w:szCs w:val="20"/>
          <w:lang w:val="en-GB"/>
        </w:rPr>
      </w:pPr>
    </w:p>
    <w:p w14:paraId="7162E3BF"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 xml:space="preserve">We continuously investigate new developments for enhancing integrity. </w:t>
      </w:r>
    </w:p>
    <w:p w14:paraId="79C80ECB" w14:textId="77777777" w:rsidR="00E1356D" w:rsidRPr="00C552E0" w:rsidRDefault="00E1356D" w:rsidP="00E1356D">
      <w:pPr>
        <w:widowControl w:val="0"/>
        <w:autoSpaceDE w:val="0"/>
        <w:autoSpaceDN w:val="0"/>
        <w:adjustRightInd w:val="0"/>
        <w:rPr>
          <w:rFonts w:cs="Arial"/>
          <w:szCs w:val="20"/>
          <w:lang w:val="en-GB"/>
        </w:rPr>
      </w:pPr>
    </w:p>
    <w:p w14:paraId="0AEC7E0E"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 xml:space="preserve">A recent (2015) addition to CASTOR is support for ANSI T10 SCSI Logical Block </w:t>
      </w:r>
      <w:r w:rsidRPr="00C552E0">
        <w:rPr>
          <w:rFonts w:cs="Arial"/>
          <w:szCs w:val="20"/>
          <w:lang w:val="en-GB"/>
        </w:rPr>
        <w:lastRenderedPageBreak/>
        <w:t>Protection (LBP) [X], covering the elements in the full data path down from the application server via the tape drive to the tape media (e.g. Linux kernel to Fibre Channel controller, physical link, internal drive data channels, media recording heads etc.). Logical Block Protection works by CASTOR pre-calculating a 4-byte CRC code that is appended to each data block sent to tape. This CRC is recalculated and validated by the tape drive when receiving the data and when writing to media (via read-after-write heads). The benefit is that transmission errors are immediately discovered and notified to CASTOR, which can then act on the error and re-send the data. The CRC is recalculated and checked by the drive every time the data block is read back from tape.</w:t>
      </w:r>
    </w:p>
    <w:p w14:paraId="2DAC9FC0" w14:textId="77777777" w:rsidR="00E1356D" w:rsidRPr="00C552E0" w:rsidRDefault="00E1356D" w:rsidP="00E1356D">
      <w:pPr>
        <w:widowControl w:val="0"/>
        <w:autoSpaceDE w:val="0"/>
        <w:autoSpaceDN w:val="0"/>
        <w:adjustRightInd w:val="0"/>
        <w:rPr>
          <w:rFonts w:cs="Arial"/>
          <w:szCs w:val="20"/>
          <w:lang w:val="en-GB"/>
        </w:rPr>
      </w:pPr>
    </w:p>
    <w:p w14:paraId="52795939"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In 2014, CASTOR was extended to obtain event descriptors via the ANSI T-10 SCSI-3 tape alerts specification [X] available on new-generation tape drives. There are around 60 different SCSI tape alerts that can be reported by a tape drive, providing accurate information about warning or failure events and their root cause. Examples include media read/write errors, warnings on performance drops, physical media or drive failure or even damage, media approaching or reaching its end of life, media capacity loss, predictive drive failure alerts, cartridge memory chip failures, drive head requiring cleaning, power or cooling anomalies, drive microcode failure, etc.</w:t>
      </w:r>
    </w:p>
    <w:p w14:paraId="1460BCB2" w14:textId="77777777" w:rsidR="00E1356D" w:rsidRPr="00C552E0" w:rsidRDefault="00E1356D" w:rsidP="00E1356D">
      <w:pPr>
        <w:widowControl w:val="0"/>
        <w:autoSpaceDE w:val="0"/>
        <w:autoSpaceDN w:val="0"/>
        <w:adjustRightInd w:val="0"/>
        <w:rPr>
          <w:rFonts w:cs="Arial"/>
          <w:szCs w:val="20"/>
          <w:lang w:val="en-GB"/>
        </w:rPr>
      </w:pPr>
    </w:p>
    <w:p w14:paraId="5E33BC19"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Any resulting tape reading or writing error or tape alert will cause events that are collected by the tape monitoring system and a ticket is immediately created in the CERN problem management system (SNOW) and assigned to a service operator.</w:t>
      </w:r>
    </w:p>
    <w:p w14:paraId="01C3F735" w14:textId="77777777" w:rsidR="00E1356D" w:rsidRDefault="00E1356D" w:rsidP="00E1356D">
      <w:pPr>
        <w:widowControl w:val="0"/>
        <w:autoSpaceDE w:val="0"/>
        <w:autoSpaceDN w:val="0"/>
        <w:adjustRightInd w:val="0"/>
        <w:rPr>
          <w:rFonts w:cs="Arial"/>
          <w:szCs w:val="20"/>
          <w:lang w:val="en-GB"/>
        </w:rPr>
      </w:pPr>
      <w:r w:rsidRPr="00C552E0">
        <w:rPr>
          <w:rFonts w:cs="Arial"/>
          <w:szCs w:val="20"/>
          <w:lang w:val="en-GB"/>
        </w:rPr>
        <w:t>Procedures and workflows for handling tape errors and alerts are defined under [X]. A short description of the tape monitoring system can be found in [X]. Currently, a major rework of the tape monitoring system is underway, with the aim to include low-level and vendor-specific SCSI reporting information into the monitoring and thus provide a deeper insight on the state of tape media and equipment ([X]).</w:t>
      </w:r>
    </w:p>
    <w:p w14:paraId="55EF63DA" w14:textId="77777777" w:rsidR="00E1356D" w:rsidRDefault="00E1356D" w:rsidP="00E1356D">
      <w:pPr>
        <w:widowControl w:val="0"/>
        <w:autoSpaceDE w:val="0"/>
        <w:autoSpaceDN w:val="0"/>
        <w:adjustRightInd w:val="0"/>
        <w:rPr>
          <w:rFonts w:cs="Arial"/>
          <w:szCs w:val="20"/>
          <w:lang w:val="en-GB"/>
        </w:rPr>
      </w:pPr>
    </w:p>
    <w:p w14:paraId="5BD6737E" w14:textId="77777777" w:rsidR="00E1356D" w:rsidRDefault="00E1356D" w:rsidP="00E1356D">
      <w:pPr>
        <w:widowControl w:val="0"/>
        <w:autoSpaceDE w:val="0"/>
        <w:autoSpaceDN w:val="0"/>
        <w:adjustRightInd w:val="0"/>
        <w:rPr>
          <w:rFonts w:cs="Arial"/>
          <w:szCs w:val="20"/>
          <w:lang w:val="en-GB"/>
        </w:rPr>
      </w:pPr>
      <w:r>
        <w:rPr>
          <w:rFonts w:cs="Arial"/>
          <w:szCs w:val="20"/>
          <w:lang w:val="en-GB"/>
        </w:rPr>
        <w:t xml:space="preserve">[X] Adler32: </w:t>
      </w:r>
      <w:hyperlink r:id="rId15" w:history="1">
        <w:r w:rsidRPr="002F4F07">
          <w:rPr>
            <w:rStyle w:val="Hyperlink"/>
            <w:rFonts w:cs="Arial"/>
            <w:szCs w:val="20"/>
            <w:lang w:val="en-GB"/>
          </w:rPr>
          <w:t>https://en.wikipedia.org/wiki/Adler-32</w:t>
        </w:r>
      </w:hyperlink>
    </w:p>
    <w:p w14:paraId="4D199CB0" w14:textId="77777777" w:rsidR="00E1356D" w:rsidRPr="00567E93" w:rsidRDefault="00E1356D" w:rsidP="00E1356D">
      <w:pPr>
        <w:widowControl w:val="0"/>
        <w:autoSpaceDE w:val="0"/>
        <w:autoSpaceDN w:val="0"/>
        <w:adjustRightInd w:val="0"/>
        <w:rPr>
          <w:rFonts w:cs="Arial"/>
          <w:szCs w:val="20"/>
          <w:lang w:val="fr-CH"/>
        </w:rPr>
      </w:pPr>
      <w:r w:rsidRPr="00567E93">
        <w:rPr>
          <w:rFonts w:cs="Arial"/>
          <w:szCs w:val="20"/>
          <w:lang w:val="fr-CH"/>
        </w:rPr>
        <w:t xml:space="preserve">[X] ANSI T10 SCSI Logical Block Protection: </w:t>
      </w:r>
    </w:p>
    <w:p w14:paraId="6A9CE5B3" w14:textId="77777777" w:rsidR="00E1356D" w:rsidRDefault="00E1356D" w:rsidP="00E1356D">
      <w:pPr>
        <w:widowControl w:val="0"/>
        <w:autoSpaceDE w:val="0"/>
        <w:autoSpaceDN w:val="0"/>
        <w:adjustRightInd w:val="0"/>
        <w:rPr>
          <w:rFonts w:cs="Arial"/>
          <w:szCs w:val="20"/>
          <w:lang w:val="en-GB"/>
        </w:rPr>
      </w:pPr>
      <w:r>
        <w:rPr>
          <w:rFonts w:cs="Arial"/>
          <w:szCs w:val="20"/>
          <w:lang w:val="en-GB"/>
        </w:rPr>
        <w:t xml:space="preserve">[X] CERN procedures for handling tape errors and alerts: </w:t>
      </w:r>
    </w:p>
    <w:p w14:paraId="2024F519" w14:textId="77777777" w:rsidR="00E1356D" w:rsidRDefault="00F17642" w:rsidP="00E1356D">
      <w:pPr>
        <w:widowControl w:val="0"/>
        <w:autoSpaceDE w:val="0"/>
        <w:autoSpaceDN w:val="0"/>
        <w:adjustRightInd w:val="0"/>
        <w:rPr>
          <w:rFonts w:cs="Arial"/>
          <w:szCs w:val="20"/>
          <w:lang w:val="en-GB"/>
        </w:rPr>
      </w:pPr>
      <w:hyperlink r:id="rId16" w:history="1">
        <w:r w:rsidR="00E1356D" w:rsidRPr="002F4F07">
          <w:rPr>
            <w:rStyle w:val="Hyperlink"/>
            <w:rFonts w:cs="Arial"/>
            <w:szCs w:val="20"/>
            <w:lang w:val="en-GB"/>
          </w:rPr>
          <w:t>https://twiki.cern.ch/twiki/bin/view/TapeOperations/TapeAlerts</w:t>
        </w:r>
      </w:hyperlink>
    </w:p>
    <w:p w14:paraId="44DB773B" w14:textId="77777777" w:rsidR="00E1356D" w:rsidRDefault="00E1356D" w:rsidP="00E1356D">
      <w:pPr>
        <w:widowControl w:val="0"/>
        <w:autoSpaceDE w:val="0"/>
        <w:autoSpaceDN w:val="0"/>
        <w:adjustRightInd w:val="0"/>
        <w:rPr>
          <w:rFonts w:cs="Arial"/>
          <w:szCs w:val="20"/>
          <w:lang w:val="en-GB"/>
        </w:rPr>
      </w:pPr>
      <w:r>
        <w:rPr>
          <w:rFonts w:cs="Arial"/>
          <w:szCs w:val="20"/>
          <w:lang w:val="en-GB"/>
        </w:rPr>
        <w:t xml:space="preserve">[X] CERN Tape monitoring system production instance: </w:t>
      </w:r>
      <w:hyperlink r:id="rId17" w:history="1">
        <w:r w:rsidRPr="008343AA">
          <w:rPr>
            <w:rStyle w:val="Hyperlink"/>
            <w:rFonts w:cs="Arial"/>
            <w:szCs w:val="20"/>
            <w:lang w:val="en-GB"/>
          </w:rPr>
          <w:t>http://cern.ch/tape-stats</w:t>
        </w:r>
      </w:hyperlink>
    </w:p>
    <w:p w14:paraId="3279E049" w14:textId="77777777" w:rsidR="00E1356D" w:rsidRDefault="00E1356D" w:rsidP="00E1356D">
      <w:pPr>
        <w:widowControl w:val="0"/>
        <w:autoSpaceDE w:val="0"/>
        <w:autoSpaceDN w:val="0"/>
        <w:adjustRightInd w:val="0"/>
        <w:rPr>
          <w:rFonts w:cs="Arial"/>
          <w:szCs w:val="20"/>
          <w:lang w:val="en-GB"/>
        </w:rPr>
      </w:pPr>
      <w:r>
        <w:rPr>
          <w:rFonts w:cs="Arial"/>
          <w:szCs w:val="20"/>
          <w:lang w:val="en-GB"/>
        </w:rPr>
        <w:t xml:space="preserve">[X] CHEP 2015: “Experiences and challenges running CERN’s high capacity tape archive”: </w:t>
      </w:r>
      <w:hyperlink r:id="rId18" w:history="1">
        <w:r w:rsidRPr="002F4F07">
          <w:rPr>
            <w:rStyle w:val="Hyperlink"/>
            <w:rFonts w:cs="Arial"/>
            <w:szCs w:val="20"/>
            <w:lang w:val="en-GB"/>
          </w:rPr>
          <w:t>http://iopscience.iop.org/article/10.1088/1742-6596/664/4/042006</w:t>
        </w:r>
      </w:hyperlink>
    </w:p>
    <w:p w14:paraId="0A7D88B8" w14:textId="0ED1BBDE" w:rsidR="00E1356D" w:rsidRPr="00744281" w:rsidRDefault="00E1356D" w:rsidP="00744281">
      <w:pPr>
        <w:widowControl w:val="0"/>
        <w:autoSpaceDE w:val="0"/>
        <w:autoSpaceDN w:val="0"/>
        <w:adjustRightInd w:val="0"/>
        <w:rPr>
          <w:rFonts w:cs="Arial"/>
          <w:szCs w:val="20"/>
          <w:lang w:val="en-GB"/>
        </w:rPr>
      </w:pPr>
      <w:r>
        <w:rPr>
          <w:rFonts w:cs="Arial"/>
          <w:szCs w:val="20"/>
          <w:lang w:val="en-GB"/>
        </w:rPr>
        <w:t>[X] CHEP 2016: “Tape SCSI monitoring and encryption at CERN” (being published)</w:t>
      </w:r>
    </w:p>
    <w:p w14:paraId="5A612100" w14:textId="6A9C88C1" w:rsidR="0027588F" w:rsidRDefault="0027588F" w:rsidP="006326AE">
      <w:pPr>
        <w:pStyle w:val="Heading3"/>
      </w:pPr>
      <w:r>
        <w:t>3.3.6 - The repository shall commit to a regular schedule of self-assessment and external certification.</w:t>
      </w:r>
    </w:p>
    <w:p w14:paraId="0CAA5C54" w14:textId="77777777" w:rsidR="006B02DA" w:rsidRDefault="006B02DA" w:rsidP="006B02DA"/>
    <w:p w14:paraId="7EA4CD25" w14:textId="4B2569BC" w:rsidR="006B02DA" w:rsidRDefault="006B02DA" w:rsidP="006B02DA">
      <w:r>
        <w:t>Self-assessment – as well as reporting to governing bodies such as the CERN Council – continue as part of the regular business of the organization, its scientific programme and the support activities, such as its IT services.</w:t>
      </w:r>
    </w:p>
    <w:p w14:paraId="1D1F0C3E" w14:textId="77777777" w:rsidR="006B02DA" w:rsidRDefault="006B02DA" w:rsidP="006B02DA"/>
    <w:p w14:paraId="75562883" w14:textId="7FF85C87" w:rsidR="006B02DA" w:rsidRPr="006B02DA" w:rsidRDefault="006B02DA" w:rsidP="006B02DA">
      <w:r>
        <w:t>It is foreseen that external (re-)certification be triggered by significant changes in the organization (such as a new Director General), in its scientific programme or a new revisions of the European Strategy for Particle Physics. Such external certification would therefore take place roughly every 5 – 7 years.</w:t>
      </w:r>
    </w:p>
    <w:p w14:paraId="066ED222" w14:textId="77777777" w:rsidR="0027588F" w:rsidRDefault="0027588F" w:rsidP="0027588F">
      <w:pPr>
        <w:pStyle w:val="Heading2"/>
      </w:pPr>
      <w:r>
        <w:t>3.4) Financial Sustainability</w:t>
      </w:r>
    </w:p>
    <w:p w14:paraId="648006D7" w14:textId="77777777" w:rsidR="0027588F" w:rsidRDefault="0027588F" w:rsidP="0027588F">
      <w:pPr>
        <w:pStyle w:val="Heading3"/>
      </w:pPr>
      <w:r>
        <w:t>3.4.1 - The repository shall have short- and long-term business planning processes in place to sustain the repository over time.</w:t>
      </w:r>
    </w:p>
    <w:p w14:paraId="7990D993" w14:textId="77777777" w:rsidR="00E133AC" w:rsidRDefault="00E133AC" w:rsidP="00E133AC"/>
    <w:p w14:paraId="44F7C84D" w14:textId="277379AC" w:rsidR="00E133AC" w:rsidRPr="00E133AC" w:rsidRDefault="00E133AC" w:rsidP="00C75D4B">
      <w:pPr>
        <w:jc w:val="both"/>
      </w:pPr>
      <w:r>
        <w:t>CERN maintains a rolling Medium Term Plan (MTP) that covers the next 5 years in detail, with an outlook of a decade or so. The MTP is presented each year to the CERN Council for approval and includes a draft budget for the following calendar year. The MTP is examined by Council and its sub-committees, including the Scientific Policy Committee and the Finance Committee. The agendas and minutes of these are archived in the CERN Document Server (restricted access).</w:t>
      </w:r>
    </w:p>
    <w:p w14:paraId="1E93518E" w14:textId="2BC20F03" w:rsidR="0027588F" w:rsidRDefault="0027588F" w:rsidP="0027588F">
      <w:pPr>
        <w:pStyle w:val="Heading3"/>
      </w:pPr>
      <w:r>
        <w:t>3.4.2 - The repository shall have financial practices and procedures which are transparent, compliant with relevant accounting standards and practices, and audited by third parties in accordance with territorial legal requirements.</w:t>
      </w:r>
    </w:p>
    <w:p w14:paraId="4EC6C373" w14:textId="2B214F73" w:rsidR="0001598C" w:rsidRDefault="0001598C" w:rsidP="00567E93"/>
    <w:p w14:paraId="37F1BD3A" w14:textId="0E37EC3E" w:rsidR="0001598C" w:rsidRPr="007B4D16" w:rsidRDefault="0001598C" w:rsidP="00567E93">
      <w:r w:rsidRPr="007B4D16">
        <w:t xml:space="preserve">The CERN Financial Rules and their Implementing Regulations define the rules governing financial administration at CERN and are adopted by the Council pursuant to Article 7 of the Protocol annexed to the Convention.  </w:t>
      </w:r>
      <w:r w:rsidR="007C74F3" w:rsidRPr="007B4D16">
        <w:t>The procurement rules are set out in the annex of the Regulations for the Implementation of the Financial Rules.</w:t>
      </w:r>
    </w:p>
    <w:p w14:paraId="523F877B" w14:textId="6A3D64E7" w:rsidR="00860C0C" w:rsidRPr="007B4D16" w:rsidRDefault="00860C0C" w:rsidP="00567E93"/>
    <w:p w14:paraId="5054EF59" w14:textId="246F1E83" w:rsidR="00860C0C" w:rsidRPr="007B4D16" w:rsidRDefault="00860C0C" w:rsidP="00567E93">
      <w:r w:rsidRPr="007B4D16">
        <w:t>CERN’s accounts are drawn up in accordance with the International Public Sector Accounting Standards (IPSAS).  These standards and the way in which they are implemented are explained in the notes attached to the annual financial statements.</w:t>
      </w:r>
    </w:p>
    <w:p w14:paraId="55F24674" w14:textId="4A85B931" w:rsidR="00860C0C" w:rsidRPr="007B4D16" w:rsidRDefault="00860C0C" w:rsidP="00567E93"/>
    <w:p w14:paraId="071E599B" w14:textId="61FF16BD" w:rsidR="00860C0C" w:rsidRPr="007B4D16" w:rsidRDefault="007267B9" w:rsidP="00567E93">
      <w:r w:rsidRPr="007B4D16">
        <w:t>The external auditors, appointed by the Council pursuant to Article 8 of the Protocol, certify the financial statements and carry out any audit they consider necessary in that framework or any audit expressly requested by the Council or the Finance Committee.</w:t>
      </w:r>
      <w:r w:rsidR="007C74F3" w:rsidRPr="007B4D16">
        <w:t xml:space="preserve"> One of the supreme audit institutions (SAI) of the Member States is appointed as external auditors for an initial period of three years, renewable once for a further period of  two years.</w:t>
      </w:r>
    </w:p>
    <w:p w14:paraId="37D8A030" w14:textId="523AF9AA" w:rsidR="0027588F" w:rsidRPr="007B4D16" w:rsidRDefault="0027588F" w:rsidP="004F791F">
      <w:pPr>
        <w:pStyle w:val="Heading3"/>
      </w:pPr>
      <w:r w:rsidRPr="007B4D16">
        <w:t>3.4.3 - The repository shall have an ongoing commitment to analyze and report on risk, benefit, investment, and expenditure (including assets, licenses, and liabilities).</w:t>
      </w:r>
    </w:p>
    <w:p w14:paraId="32A32FE4" w14:textId="2E4486B8" w:rsidR="007C74F3" w:rsidRPr="007B4D16" w:rsidRDefault="007C74F3" w:rsidP="00567E93"/>
    <w:p w14:paraId="4CD81819" w14:textId="41F17E43" w:rsidR="007C74F3" w:rsidRPr="007B4D16" w:rsidRDefault="007C74F3" w:rsidP="007C74F3">
      <w:r w:rsidRPr="007B4D16">
        <w:t xml:space="preserve">Inventories are kept and items identified according to a system approved by the Finance and Administrative Processes Department, including a Property Plant and Equipment (PPE) Register. </w:t>
      </w:r>
    </w:p>
    <w:p w14:paraId="6885A72E" w14:textId="6A6B7D8E" w:rsidR="006D78D1" w:rsidRPr="007B4D16" w:rsidRDefault="006D78D1" w:rsidP="007C74F3"/>
    <w:p w14:paraId="38BC955E" w14:textId="28956D26" w:rsidR="006D78D1" w:rsidRPr="007B4D16" w:rsidRDefault="006D78D1" w:rsidP="006D78D1">
      <w:r w:rsidRPr="007B4D16">
        <w:lastRenderedPageBreak/>
        <w:t xml:space="preserve">Financial Statements are approved by the Council after consulting the Finance Committee within six months from the end of the financial year to which they relate. </w:t>
      </w:r>
    </w:p>
    <w:p w14:paraId="2972F566" w14:textId="051FB59A" w:rsidR="006D78D1" w:rsidRPr="007B4D16" w:rsidRDefault="006D78D1" w:rsidP="006D78D1">
      <w:r w:rsidRPr="007B4D16">
        <w:t>The Annual Progress Report is approved by the Council at the same time as the Financial Statements and focuses on progress against the goals and outputs previously approved by Council for that year, with the associated costs.</w:t>
      </w:r>
    </w:p>
    <w:p w14:paraId="2C8679D0" w14:textId="3DFBE220" w:rsidR="004C072D" w:rsidRPr="007B4D16" w:rsidRDefault="004C072D" w:rsidP="006D78D1"/>
    <w:p w14:paraId="031EBCFF" w14:textId="0E3E1558" w:rsidR="004C072D" w:rsidRPr="007B4D16" w:rsidRDefault="004C072D" w:rsidP="006D78D1">
      <w:r w:rsidRPr="007B4D16">
        <w:t>During each Council session, a report on the Cash Flow</w:t>
      </w:r>
      <w:r w:rsidR="005A7428" w:rsidRPr="007B4D16">
        <w:t>, the status of the Members States’ contribution</w:t>
      </w:r>
      <w:r w:rsidR="005A4CDE" w:rsidRPr="007B4D16">
        <w:t>s a</w:t>
      </w:r>
      <w:r w:rsidRPr="007B4D16">
        <w:t xml:space="preserve">nd the outlook on the Cumulative </w:t>
      </w:r>
      <w:r w:rsidR="005A4CDE" w:rsidRPr="007B4D16">
        <w:t>Budget</w:t>
      </w:r>
      <w:r w:rsidRPr="007B4D16">
        <w:t xml:space="preserve"> Deficit is presented.</w:t>
      </w:r>
    </w:p>
    <w:p w14:paraId="7EC5930D" w14:textId="7CA761DD" w:rsidR="00E04BC8" w:rsidRPr="007B4D16" w:rsidRDefault="00E04BC8" w:rsidP="006D78D1"/>
    <w:p w14:paraId="3C625D23" w14:textId="724F3F7D" w:rsidR="00E04BC8" w:rsidRPr="006D78D1" w:rsidRDefault="005F7956" w:rsidP="006D78D1">
      <w:r w:rsidRPr="007B4D16">
        <w:t>The progress of the m</w:t>
      </w:r>
      <w:r w:rsidR="00E04BC8" w:rsidRPr="007B4D16">
        <w:t xml:space="preserve">ain scientific projects </w:t>
      </w:r>
      <w:r w:rsidRPr="007B4D16">
        <w:t>is followed using Earned Value Management methodology and is examined</w:t>
      </w:r>
      <w:r w:rsidR="00C3008A" w:rsidRPr="007B4D16">
        <w:t xml:space="preserve"> regularly during Cost and Schedule reviews (HL-LHC and LIU every 18 months).</w:t>
      </w:r>
    </w:p>
    <w:p w14:paraId="2A116EEC" w14:textId="77777777" w:rsidR="0027588F" w:rsidRDefault="0027588F" w:rsidP="0027588F">
      <w:pPr>
        <w:pStyle w:val="Heading2"/>
      </w:pPr>
      <w:r>
        <w:t>3.5) Contracts, Licenses, and Liabilities</w:t>
      </w:r>
    </w:p>
    <w:p w14:paraId="79D916A4" w14:textId="77777777" w:rsidR="0027588F" w:rsidRDefault="0027588F" w:rsidP="0027588F">
      <w:pPr>
        <w:pStyle w:val="Heading3"/>
      </w:pPr>
      <w:r>
        <w:t>3.5.1 - The repository shall have and maintain appropriate contracts or deposit agreements for digital materials that it manages, preserves, and/or to which it provides access.</w:t>
      </w:r>
    </w:p>
    <w:p w14:paraId="5C2A48EA" w14:textId="77777777" w:rsidR="00EC239F" w:rsidRDefault="00EC239F" w:rsidP="00EC239F"/>
    <w:p w14:paraId="5D3C2CB2" w14:textId="2BB524CD" w:rsidR="00EC239F" w:rsidRDefault="00EC239F" w:rsidP="00EC239F">
      <w:r>
        <w:t>The digital materials that are managed and preserved include:</w:t>
      </w:r>
    </w:p>
    <w:p w14:paraId="461EEE9F" w14:textId="77777777" w:rsidR="00EC239F" w:rsidRDefault="00EC239F" w:rsidP="00EC239F"/>
    <w:p w14:paraId="58A2D10A" w14:textId="77777777" w:rsidR="00EC239F" w:rsidRDefault="00EC239F" w:rsidP="00812FB5">
      <w:pPr>
        <w:pStyle w:val="ListParagraph"/>
        <w:numPr>
          <w:ilvl w:val="0"/>
          <w:numId w:val="13"/>
        </w:numPr>
        <w:rPr>
          <w:lang w:val="en"/>
        </w:rPr>
      </w:pPr>
      <w:r>
        <w:rPr>
          <w:lang w:val="en"/>
        </w:rPr>
        <w:t>Scientific data from the various experiments conducted at CERN;</w:t>
      </w:r>
    </w:p>
    <w:p w14:paraId="16085B07" w14:textId="23C2C773" w:rsidR="00EC239F" w:rsidRPr="00EC239F" w:rsidRDefault="00EC239F" w:rsidP="00812FB5">
      <w:pPr>
        <w:pStyle w:val="ListParagraph"/>
        <w:numPr>
          <w:ilvl w:val="0"/>
          <w:numId w:val="13"/>
        </w:numPr>
        <w:rPr>
          <w:lang w:val="en"/>
        </w:rPr>
      </w:pPr>
      <w:r>
        <w:rPr>
          <w:lang w:val="en"/>
        </w:rPr>
        <w:t>The “Digital Memory” of the organisation, that includes minutes of meetings, videos, digitised images and so forth (see Operational Circular number 3);</w:t>
      </w:r>
    </w:p>
    <w:p w14:paraId="793A40D9" w14:textId="43FE369C" w:rsidR="00EC239F" w:rsidRDefault="00EC239F" w:rsidP="00812FB5">
      <w:pPr>
        <w:pStyle w:val="ListParagraph"/>
        <w:numPr>
          <w:ilvl w:val="0"/>
          <w:numId w:val="13"/>
        </w:numPr>
        <w:rPr>
          <w:lang w:val="en"/>
        </w:rPr>
      </w:pPr>
      <w:r>
        <w:rPr>
          <w:lang w:val="en"/>
        </w:rPr>
        <w:t>Papers and publications, many of which derive directly from the above and / or are related to R&amp;D, service deployment and operations etc (see Operational Circular number 6).</w:t>
      </w:r>
    </w:p>
    <w:p w14:paraId="6AD13E37" w14:textId="77777777" w:rsidR="00ED5AB2" w:rsidRDefault="00ED5AB2" w:rsidP="00ED5AB2"/>
    <w:p w14:paraId="784CAADB" w14:textId="6DFBB4DD" w:rsidR="00ED5AB2" w:rsidRDefault="00ED5AB2" w:rsidP="00ED5AB2">
      <w:r>
        <w:t>As part of CERN’s mandate</w:t>
      </w:r>
      <w:r w:rsidR="0080456A">
        <w:t xml:space="preserve"> drawn up in the CERN Convention</w:t>
      </w:r>
      <w:r>
        <w:t>, CERN offers “an institutional repository” for</w:t>
      </w:r>
      <w:r w:rsidR="00812FB5">
        <w:t xml:space="preserve"> the (scientific)</w:t>
      </w:r>
      <w:r>
        <w:t xml:space="preserve"> data generated by CERN approved (and, under specific agreement, recognized) experiments</w:t>
      </w:r>
      <w:r w:rsidR="00EC239F">
        <w:t xml:space="preserve">, as well as </w:t>
      </w:r>
      <w:r>
        <w:t xml:space="preserve">. </w:t>
      </w:r>
    </w:p>
    <w:p w14:paraId="32712695" w14:textId="77777777" w:rsidR="00D10796" w:rsidRDefault="00D10796" w:rsidP="00D10796"/>
    <w:p w14:paraId="39E1F79F" w14:textId="2FBCE446" w:rsidR="00D10796" w:rsidRDefault="00D10796" w:rsidP="00D10796">
      <w:r>
        <w:t xml:space="preserve">The bulk of the data preserved at CERN comes from the 4 main LHC experiments: ALICE, ATLAS, CMS and LHCb. The computing environment that serves these experiments is called the Worldwide LHC Computing Grid (WLCG) and is bound by a Memorandum of Understanding (MoU - </w:t>
      </w:r>
      <w:hyperlink r:id="rId19" w:history="1">
        <w:r w:rsidRPr="0071276F">
          <w:rPr>
            <w:rStyle w:val="Hyperlink"/>
          </w:rPr>
          <w:t>http://wlcg.web.cern.ch/collaboration/mou</w:t>
        </w:r>
      </w:hyperlink>
      <w:r>
        <w:t xml:space="preserve">) that is signed by funding agencies worldwide. </w:t>
      </w:r>
      <w:r w:rsidR="00950B60">
        <w:t xml:space="preserve">This MoU lists the services that CERN (as the host laboratory) should offer with further details in the Technical Design Report (TDR - </w:t>
      </w:r>
      <w:hyperlink r:id="rId20" w:history="1">
        <w:r w:rsidR="00950B60" w:rsidRPr="0071276F">
          <w:rPr>
            <w:rStyle w:val="Hyperlink"/>
          </w:rPr>
          <w:t>https://espace.cern.ch/WLCG-document-repository/Technical_Documents/TDR/LCG_TDR_v1_04.pdf</w:t>
        </w:r>
      </w:hyperlink>
      <w:r w:rsidR="00950B60">
        <w:t xml:space="preserve">) and subsequent updates (2014: </w:t>
      </w:r>
      <w:hyperlink r:id="rId21" w:history="1">
        <w:r w:rsidR="00950B60" w:rsidRPr="0071276F">
          <w:rPr>
            <w:rStyle w:val="Hyperlink"/>
          </w:rPr>
          <w:t>https://cds.cern.ch/record/1695401/files/LCG-TDR-002.pdf</w:t>
        </w:r>
      </w:hyperlink>
      <w:r w:rsidR="00950B60">
        <w:t>). This latter document describes the Data Preservation and Open Access infrastructure (that also summarises the LHC experiments’ data access policies).</w:t>
      </w:r>
    </w:p>
    <w:p w14:paraId="238E937D" w14:textId="77777777" w:rsidR="00950B60" w:rsidRDefault="00950B60" w:rsidP="00D10796"/>
    <w:p w14:paraId="7C8E1E4E" w14:textId="334BE80A" w:rsidR="00950B60" w:rsidRDefault="00950B60" w:rsidP="00D10796">
      <w:r>
        <w:t>For non-LHC experiments, there are currently two categories:</w:t>
      </w:r>
    </w:p>
    <w:p w14:paraId="732D7E1C" w14:textId="77777777" w:rsidR="00950B60" w:rsidRDefault="00950B60" w:rsidP="00D10796"/>
    <w:p w14:paraId="0211A8D2" w14:textId="642AF62C" w:rsidR="00950B60" w:rsidRDefault="00950B60" w:rsidP="00950B60">
      <w:pPr>
        <w:pStyle w:val="ListParagraph"/>
        <w:numPr>
          <w:ilvl w:val="0"/>
          <w:numId w:val="9"/>
        </w:numPr>
      </w:pPr>
      <w:r>
        <w:lastRenderedPageBreak/>
        <w:t>Pre-LHC experiments, such as those at the previous Large Electron-Positron Collider (LEP): bit preservation “as a service” is provided but access is restricted to members of the former collaborations;</w:t>
      </w:r>
    </w:p>
    <w:p w14:paraId="05929A02" w14:textId="77777777" w:rsidR="00950B60" w:rsidRDefault="00950B60" w:rsidP="00950B60">
      <w:pPr>
        <w:pStyle w:val="ListParagraph"/>
        <w:numPr>
          <w:ilvl w:val="0"/>
          <w:numId w:val="9"/>
        </w:numPr>
      </w:pPr>
      <w:r>
        <w:t>Current and future experiments: currently agreed on a case-by-case basis, but foreseen to be described by the experiment-specific Data Management Plan (DMP), to be reviewed by the appropriate scientific committee (e.g. SPSC for experiments at the SPS etc.)</w:t>
      </w:r>
    </w:p>
    <w:p w14:paraId="5F32DFB5" w14:textId="77777777" w:rsidR="00950B60" w:rsidRDefault="00950B60" w:rsidP="00950B60"/>
    <w:p w14:paraId="06C8F1FE" w14:textId="6C5662B7" w:rsidR="00950B60" w:rsidRPr="00D10796" w:rsidRDefault="00950B60" w:rsidP="00D10796">
      <w:r>
        <w:t xml:space="preserve">Access to the </w:t>
      </w:r>
      <w:r w:rsidR="00812FB5">
        <w:t xml:space="preserve">associated </w:t>
      </w:r>
      <w:r>
        <w:t>documentation and software is “open” as described in the CERN Open Data Portal.</w:t>
      </w:r>
    </w:p>
    <w:p w14:paraId="184699A7" w14:textId="77777777" w:rsidR="0027588F" w:rsidRDefault="0027588F" w:rsidP="0027588F">
      <w:pPr>
        <w:pStyle w:val="Heading4"/>
      </w:pPr>
      <w:r>
        <w:t>3.5.1.1 - The repository shall have contracts or deposit agreements which specify and transfer all necessary preservation rights, and those rights transferred shall be documented.</w:t>
      </w:r>
    </w:p>
    <w:p w14:paraId="4915FDFE" w14:textId="77777777" w:rsidR="00812FB5" w:rsidRPr="00812FB5" w:rsidRDefault="00812FB5" w:rsidP="00812FB5"/>
    <w:p w14:paraId="451833CB" w14:textId="41A188B3" w:rsidR="000D2850" w:rsidRDefault="00812FB5" w:rsidP="000D2850">
      <w:r>
        <w:t>As described in Operational Circular number 3:</w:t>
      </w:r>
    </w:p>
    <w:p w14:paraId="5D2C2F28" w14:textId="77777777" w:rsidR="00812FB5" w:rsidRDefault="00812FB5" w:rsidP="000D2850"/>
    <w:p w14:paraId="75A22AF4" w14:textId="74A58A17" w:rsidR="00812FB5" w:rsidRPr="00812FB5" w:rsidRDefault="00812FB5" w:rsidP="00812FB5">
      <w:pPr>
        <w:rPr>
          <w:rFonts w:ascii="Times" w:eastAsia="Times New Roman" w:hAnsi="Times" w:cs="Times New Roman"/>
          <w:sz w:val="20"/>
          <w:szCs w:val="20"/>
        </w:rPr>
      </w:pPr>
      <w:r>
        <w:rPr>
          <w:rFonts w:ascii="Times" w:eastAsia="Times New Roman" w:hAnsi="Times" w:cs="Times New Roman"/>
          <w:sz w:val="20"/>
          <w:szCs w:val="20"/>
        </w:rPr>
        <w:t>“</w:t>
      </w:r>
      <w:r w:rsidRPr="00812FB5">
        <w:rPr>
          <w:rFonts w:ascii="Times" w:eastAsia="Times New Roman" w:hAnsi="Times" w:cs="Times New Roman"/>
          <w:sz w:val="20"/>
          <w:szCs w:val="20"/>
        </w:rPr>
        <w:t>CERN is responsible for its documents and files and their preservation. It must formulate its own archiving policy and rules, taking into account legal obligations deriving from ordinary law. The aim of this document is to set out rules and procedures for archiving and access to archival material at CERN.</w:t>
      </w:r>
      <w:r>
        <w:rPr>
          <w:rFonts w:ascii="Times" w:eastAsia="Times New Roman" w:hAnsi="Times" w:cs="Times New Roman"/>
          <w:sz w:val="20"/>
          <w:szCs w:val="20"/>
        </w:rPr>
        <w:t>”</w:t>
      </w:r>
    </w:p>
    <w:p w14:paraId="0319FEEE" w14:textId="77777777" w:rsidR="00812FB5" w:rsidRDefault="00812FB5" w:rsidP="000D2850"/>
    <w:p w14:paraId="486D0C0F" w14:textId="5CEF6EFD" w:rsidR="00812FB5" w:rsidRPr="00812FB5" w:rsidRDefault="00812FB5" w:rsidP="00812FB5">
      <w:r>
        <w:t xml:space="preserve">Similarly, Operational Circular number 6 specifies the rules concerning “Scientific Documents” (previously entitled </w:t>
      </w:r>
      <w:r w:rsidRPr="00812FB5">
        <w:rPr>
          <w:i/>
        </w:rPr>
        <w:t>“Principles and procedures governing CERN publications and reports and other publications arising from CERN work"</w:t>
      </w:r>
      <w:r>
        <w:t>)</w:t>
      </w:r>
      <w:r w:rsidR="005F5F8D">
        <w:t>.</w:t>
      </w:r>
    </w:p>
    <w:p w14:paraId="226793B0" w14:textId="57162EBF" w:rsidR="00812FB5" w:rsidRDefault="00812FB5" w:rsidP="000D2850"/>
    <w:p w14:paraId="54732AC0" w14:textId="3C1584C9" w:rsidR="000D2850" w:rsidRPr="000D2850" w:rsidRDefault="000D2850" w:rsidP="000D2850">
      <w:r>
        <w:t xml:space="preserve">The repository does not alter any of the digital objects that are deposited – the full responsibility for this remains with the depositor. Digital objects may be “moved”, e.g. from one disk server to another, through a (tape) media migration, but they are not altered in any way. </w:t>
      </w:r>
    </w:p>
    <w:p w14:paraId="31C4543B" w14:textId="25A4B6D2" w:rsidR="005A4080" w:rsidRPr="005A4080" w:rsidRDefault="0027588F" w:rsidP="00E9569E">
      <w:pPr>
        <w:pStyle w:val="Heading4"/>
      </w:pPr>
      <w:r>
        <w:t>3.5.1.2 - The repository shall have specified all appropriate aspects of acquisition, maintenance, access, and withdrawal in written agreements with depositors and other relevant parties.</w:t>
      </w:r>
    </w:p>
    <w:p w14:paraId="07CE9EC5" w14:textId="3B066EC8" w:rsidR="005A4080" w:rsidRDefault="0027588F" w:rsidP="00E9569E">
      <w:pPr>
        <w:pStyle w:val="Heading4"/>
      </w:pPr>
      <w:r>
        <w:t>3.5.1.3 - The repository shall have written policies that indicate when it accepts preservation responsibility for contents of each set of submitted data objects.</w:t>
      </w:r>
    </w:p>
    <w:p w14:paraId="00D4B5FE" w14:textId="3C5FA5B9" w:rsidR="00E9569E" w:rsidRDefault="0027588F" w:rsidP="00E9569E">
      <w:pPr>
        <w:pStyle w:val="Heading4"/>
      </w:pPr>
      <w:r>
        <w:t>3.5.1.4 - The repository shall have policies in place to address liability and challenges to ownership/rights.</w:t>
      </w:r>
    </w:p>
    <w:p w14:paraId="7B5681C0" w14:textId="6699FBD9" w:rsidR="00E9569E" w:rsidRPr="00E9569E" w:rsidRDefault="00E9569E" w:rsidP="00E9569E">
      <w:pPr>
        <w:pStyle w:val="Heading4"/>
      </w:pPr>
      <w:r>
        <w:t>3.5.1.2 – 3.5.1.4</w:t>
      </w:r>
    </w:p>
    <w:p w14:paraId="4D8A05D9" w14:textId="77777777" w:rsidR="005A4080" w:rsidRPr="005A4080" w:rsidRDefault="005A4080" w:rsidP="005A4080"/>
    <w:p w14:paraId="3E5933CB" w14:textId="398754C5" w:rsidR="005A4080" w:rsidRDefault="00E9569E" w:rsidP="005A4080">
      <w:r w:rsidRPr="00BA766C">
        <w:t>These agreements / policies are defined by CERN</w:t>
      </w:r>
      <w:r w:rsidR="00BF6AD2" w:rsidRPr="00BA766C">
        <w:t xml:space="preserve"> Operational Circulars 3 &amp; 6 </w:t>
      </w:r>
      <w:r w:rsidRPr="00BA766C">
        <w:t>for “CERN’s Digital Memory” and Publications.</w:t>
      </w:r>
    </w:p>
    <w:p w14:paraId="17CBE1C3" w14:textId="77777777" w:rsidR="00E9569E" w:rsidRDefault="00E9569E" w:rsidP="005A4080"/>
    <w:p w14:paraId="03A0A14D" w14:textId="4378009D" w:rsidR="00E9569E" w:rsidRDefault="00BA766C" w:rsidP="005A4080">
      <w:r>
        <w:t>For the data from CERN’s LHC experiments, the agreements form part of the Worldwide LHC Computing Grid (WLCG) Memorandum of Understanding – signed by all funding agencies – as well as the LHC Computing Grid Technical Design Report (LCG-TDR-001, CERN-LHCC-2005-024) and its recent update (</w:t>
      </w:r>
      <w:hyperlink r:id="rId22" w:history="1">
        <w:r w:rsidRPr="00463086">
          <w:rPr>
            <w:rStyle w:val="Hyperlink"/>
          </w:rPr>
          <w:t>https://cds.cern.ch/record/1695401/files/LCG-TDR-002.pdf</w:t>
        </w:r>
      </w:hyperlink>
      <w:r>
        <w:t xml:space="preserve">). In all cases, the </w:t>
      </w:r>
      <w:r>
        <w:lastRenderedPageBreak/>
        <w:t>documents were prepared by members of the LHC collaborations (ALICE, ATLAS, CMS and LHCb) as well as representatives from the main WLCG sites (Tier0, Tier1 and Tier2).</w:t>
      </w:r>
    </w:p>
    <w:p w14:paraId="58002950" w14:textId="77777777" w:rsidR="005C6A96" w:rsidRDefault="005C6A96" w:rsidP="005A4080"/>
    <w:p w14:paraId="193DCF89" w14:textId="7671713C" w:rsidR="005C6A96" w:rsidRDefault="005C6A96" w:rsidP="005A4080">
      <w:r>
        <w:t>The relevant section of the LCG Computing Model update is reproduced in Appendix B below.</w:t>
      </w:r>
    </w:p>
    <w:p w14:paraId="0C862AFB" w14:textId="6B9120B9" w:rsidR="0027588F" w:rsidRPr="0027588F" w:rsidRDefault="0027588F" w:rsidP="0027588F">
      <w:pPr>
        <w:pStyle w:val="Heading3"/>
      </w:pPr>
      <w:r>
        <w:t>3.5.2 - The repository shall track and manage intellectual property rights and restrictions on use of repository content as required by deposit agreement, contract, or license.</w:t>
      </w:r>
    </w:p>
    <w:p w14:paraId="6AA297AB" w14:textId="77777777" w:rsidR="005A4080" w:rsidRDefault="005A4080" w:rsidP="005A4080"/>
    <w:p w14:paraId="60279C43" w14:textId="6228D390" w:rsidR="005A4080" w:rsidRDefault="005C6A96" w:rsidP="005A4080">
      <w:r>
        <w:t>The access policies to the data from the LHC experiments are accessible through the CERN open data portal (</w:t>
      </w:r>
      <w:hyperlink r:id="rId23" w:history="1">
        <w:r w:rsidRPr="00463086">
          <w:rPr>
            <w:rStyle w:val="Hyperlink"/>
          </w:rPr>
          <w:t>http://opendata.cern.ch/</w:t>
        </w:r>
      </w:hyperlink>
      <w:r>
        <w:t xml:space="preserve">), as are the corresponding data. </w:t>
      </w:r>
    </w:p>
    <w:p w14:paraId="39C81C48" w14:textId="77777777" w:rsidR="005C6A96" w:rsidRDefault="005C6A96" w:rsidP="005A4080"/>
    <w:p w14:paraId="4CF1DC22" w14:textId="4E76A0B2" w:rsidR="005C6A96" w:rsidRDefault="007234D0" w:rsidP="005A4080">
      <w:r>
        <w:t xml:space="preserve">Some brief extracts of the data / tools that are available </w:t>
      </w:r>
      <w:r>
        <w:t xml:space="preserve">for the LHC experiments </w:t>
      </w:r>
      <w:r>
        <w:t>are listed below.</w:t>
      </w:r>
    </w:p>
    <w:p w14:paraId="37FF9AF7" w14:textId="77777777" w:rsidR="007234D0" w:rsidRDefault="007234D0" w:rsidP="005A4080"/>
    <w:p w14:paraId="63E8C873" w14:textId="5B988E0B" w:rsidR="007234D0" w:rsidRDefault="007234D0" w:rsidP="005A4080">
      <w:r>
        <w:t xml:space="preserve">For previous experiments, such as those at the former LEP collider, see </w:t>
      </w:r>
      <w:hyperlink r:id="rId24" w:history="1">
        <w:r w:rsidRPr="00463086">
          <w:rPr>
            <w:rStyle w:val="Hyperlink"/>
          </w:rPr>
          <w:t>http://hep-project-dphep-portal.web.cern.ch/content/large-electron-positron-collider-lep</w:t>
        </w:r>
      </w:hyperlink>
      <w:r>
        <w:t xml:space="preserve">. </w:t>
      </w:r>
      <w:bookmarkStart w:id="0" w:name="_GoBack"/>
      <w:bookmarkEnd w:id="0"/>
    </w:p>
    <w:p w14:paraId="486A68AB" w14:textId="77777777" w:rsidR="007234D0" w:rsidRDefault="007234D0" w:rsidP="005A4080"/>
    <w:tbl>
      <w:tblPr>
        <w:tblStyle w:val="TableGrid"/>
        <w:tblW w:w="0" w:type="auto"/>
        <w:tblLook w:val="04A0" w:firstRow="1" w:lastRow="0" w:firstColumn="1" w:lastColumn="0" w:noHBand="0" w:noVBand="1"/>
      </w:tblPr>
      <w:tblGrid>
        <w:gridCol w:w="1668"/>
        <w:gridCol w:w="3827"/>
        <w:gridCol w:w="3021"/>
      </w:tblGrid>
      <w:tr w:rsidR="007234D0" w14:paraId="0036ADCD" w14:textId="77777777" w:rsidTr="007234D0">
        <w:tc>
          <w:tcPr>
            <w:tcW w:w="1668" w:type="dxa"/>
          </w:tcPr>
          <w:p w14:paraId="40745C5E" w14:textId="3E90B865" w:rsidR="007234D0" w:rsidRDefault="007234D0" w:rsidP="005A4080">
            <w:r>
              <w:t>Experiment</w:t>
            </w:r>
          </w:p>
        </w:tc>
        <w:tc>
          <w:tcPr>
            <w:tcW w:w="3827" w:type="dxa"/>
          </w:tcPr>
          <w:p w14:paraId="4B0854F2" w14:textId="50FEDC79" w:rsidR="007234D0" w:rsidRDefault="007234D0" w:rsidP="005A4080">
            <w:r>
              <w:t>Data</w:t>
            </w:r>
          </w:p>
        </w:tc>
        <w:tc>
          <w:tcPr>
            <w:tcW w:w="3021" w:type="dxa"/>
          </w:tcPr>
          <w:p w14:paraId="19AF96BE" w14:textId="5C5CF4D5" w:rsidR="007234D0" w:rsidRDefault="007234D0" w:rsidP="005A4080">
            <w:r>
              <w:t>Tools</w:t>
            </w:r>
          </w:p>
        </w:tc>
      </w:tr>
      <w:tr w:rsidR="007234D0" w14:paraId="015BEC9B" w14:textId="77777777" w:rsidTr="007234D0">
        <w:tc>
          <w:tcPr>
            <w:tcW w:w="1668" w:type="dxa"/>
          </w:tcPr>
          <w:p w14:paraId="4CB63C7B" w14:textId="75297847" w:rsidR="007234D0" w:rsidRDefault="007234D0" w:rsidP="005A4080">
            <w:r>
              <w:t>ALICE</w:t>
            </w:r>
          </w:p>
        </w:tc>
        <w:tc>
          <w:tcPr>
            <w:tcW w:w="3827" w:type="dxa"/>
          </w:tcPr>
          <w:p w14:paraId="6E4F18FD" w14:textId="77777777" w:rsidR="007234D0" w:rsidRDefault="007234D0" w:rsidP="007234D0">
            <w:pPr>
              <w:rPr>
                <w:rFonts w:eastAsia="Times New Roman" w:cs="Times New Roman"/>
              </w:rPr>
            </w:pPr>
            <w:r>
              <w:rPr>
                <w:rFonts w:eastAsia="Times New Roman" w:hAnsi="Symbol" w:cs="Times New Roman"/>
              </w:rPr>
              <w:t></w:t>
            </w:r>
            <w:r>
              <w:rPr>
                <w:rFonts w:eastAsia="Times New Roman" w:cs="Times New Roman"/>
              </w:rPr>
              <w:t xml:space="preserve">  The available </w:t>
            </w:r>
            <w:hyperlink r:id="rId25" w:history="1">
              <w:r>
                <w:rPr>
                  <w:rStyle w:val="Hyperlink"/>
                  <w:rFonts w:eastAsia="Times New Roman" w:cs="Times New Roman"/>
                  <w:color w:val="428BCA"/>
                </w:rPr>
                <w:t>primary ALICE datasets</w:t>
              </w:r>
            </w:hyperlink>
            <w:r>
              <w:rPr>
                <w:rFonts w:eastAsia="Times New Roman" w:cs="Times New Roman"/>
              </w:rPr>
              <w:t> contain a limited sample of specially selected interaction events recorded from pp and PbPb collisions collected in 2010. The data format is the ESD (event summary data) format generated by the ALICE raw data reconstruction software. These datasets are not statistically representative and therefore cannot be used to perform full fledged scientific studies. They rather serve to demonstrate the use of the ALICE analysis tools.</w:t>
            </w:r>
          </w:p>
          <w:p w14:paraId="063B1E91" w14:textId="74744066" w:rsidR="007234D0" w:rsidRPr="007234D0" w:rsidRDefault="007234D0" w:rsidP="005A4080">
            <w:pPr>
              <w:rPr>
                <w:rFonts w:eastAsia="Times New Roman" w:cs="Times New Roman"/>
              </w:rPr>
            </w:pPr>
            <w:r>
              <w:rPr>
                <w:rFonts w:eastAsia="Times New Roman" w:hAnsi="Symbol" w:cs="Times New Roman"/>
              </w:rPr>
              <w:t></w:t>
            </w:r>
            <w:r>
              <w:rPr>
                <w:rFonts w:eastAsia="Times New Roman" w:cs="Times New Roman"/>
              </w:rPr>
              <w:t xml:space="preserve">  A set of </w:t>
            </w:r>
            <w:hyperlink r:id="rId26" w:history="1">
              <w:r>
                <w:rPr>
                  <w:rStyle w:val="Hyperlink"/>
                  <w:rFonts w:eastAsia="Times New Roman" w:cs="Times New Roman"/>
                  <w:color w:val="428BCA"/>
                </w:rPr>
                <w:t>simplified datasets</w:t>
              </w:r>
            </w:hyperlink>
            <w:r>
              <w:rPr>
                <w:rFonts w:eastAsia="Times New Roman" w:cs="Times New Roman"/>
              </w:rPr>
              <w:t> derived from the primary ones for use in the provided masterclass analyses. These data contain exclusively the information needed by the masterclasses and are not useful for a different purpose.</w:t>
            </w:r>
          </w:p>
        </w:tc>
        <w:tc>
          <w:tcPr>
            <w:tcW w:w="3021" w:type="dxa"/>
          </w:tcPr>
          <w:p w14:paraId="6F76FDF9" w14:textId="06A8797E" w:rsidR="007234D0" w:rsidRDefault="007234D0" w:rsidP="007234D0">
            <w:pPr>
              <w:rPr>
                <w:rFonts w:eastAsia="Times New Roman" w:cs="Times New Roman"/>
              </w:rPr>
            </w:pPr>
            <w:r>
              <w:rPr>
                <w:rFonts w:eastAsia="Times New Roman" w:hAnsi="Symbol" w:cs="Times New Roman"/>
              </w:rPr>
              <w:t></w:t>
            </w:r>
            <w:r>
              <w:rPr>
                <w:rFonts w:eastAsia="Times New Roman" w:cs="Times New Roman"/>
              </w:rPr>
              <w:t xml:space="preserve">  A </w:t>
            </w:r>
            <w:r>
              <w:rPr>
                <w:rFonts w:eastAsia="Times New Roman" w:cs="Times New Roman"/>
              </w:rPr>
              <w:t>downloadable </w:t>
            </w:r>
            <w:hyperlink r:id="rId27" w:history="1">
              <w:r>
                <w:rPr>
                  <w:rStyle w:val="Hyperlink"/>
                  <w:rFonts w:eastAsia="Times New Roman" w:cs="Times New Roman"/>
                  <w:color w:val="428BCA"/>
                </w:rPr>
                <w:t>Virtual Machine (VM)</w:t>
              </w:r>
            </w:hyperlink>
            <w:r>
              <w:rPr>
                <w:rFonts w:eastAsia="Times New Roman" w:cs="Times New Roman"/>
              </w:rPr>
              <w:t> image with the ALICE software environment which allows to access the above datasets</w:t>
            </w:r>
          </w:p>
          <w:p w14:paraId="42FA1D1D" w14:textId="77777777" w:rsidR="007234D0" w:rsidRDefault="007234D0" w:rsidP="007234D0">
            <w:pPr>
              <w:rPr>
                <w:rFonts w:eastAsia="Times New Roman" w:cs="Times New Roman"/>
              </w:rPr>
            </w:pPr>
            <w:r>
              <w:rPr>
                <w:rFonts w:eastAsia="Times New Roman" w:hAnsi="Symbol" w:cs="Times New Roman"/>
              </w:rPr>
              <w:t></w:t>
            </w:r>
            <w:r>
              <w:rPr>
                <w:rFonts w:eastAsia="Times New Roman" w:cs="Times New Roman"/>
              </w:rPr>
              <w:t xml:space="preserve">  An </w:t>
            </w:r>
            <w:hyperlink r:id="rId28" w:history="1">
              <w:r>
                <w:rPr>
                  <w:rStyle w:val="Hyperlink"/>
                  <w:rFonts w:eastAsia="Times New Roman" w:cs="Times New Roman"/>
                  <w:color w:val="428BCA"/>
                </w:rPr>
                <w:t>analysis example chain</w:t>
              </w:r>
            </w:hyperlink>
            <w:r>
              <w:rPr>
                <w:rFonts w:eastAsia="Times New Roman" w:cs="Times New Roman"/>
              </w:rPr>
              <w:t> running in the VM, reading a primary dataset using the </w:t>
            </w:r>
            <w:hyperlink r:id="rId29" w:history="1">
              <w:r>
                <w:rPr>
                  <w:rStyle w:val="Hyperlink"/>
                  <w:rFonts w:eastAsia="Times New Roman" w:cs="Times New Roman"/>
                  <w:color w:val="428BCA"/>
                </w:rPr>
                <w:t>ALICE analysis framework</w:t>
              </w:r>
            </w:hyperlink>
            <w:r>
              <w:rPr>
                <w:rFonts w:eastAsia="Times New Roman" w:cs="Times New Roman"/>
              </w:rPr>
              <w:t>. The sources for the example can be adapted and recompiled by the user to look at different features of ALICE data. This exercise requires a minimal understanding of the usage of the analysis framework.</w:t>
            </w:r>
          </w:p>
          <w:p w14:paraId="25106769" w14:textId="5C2EBEF6" w:rsidR="007234D0" w:rsidRPr="007234D0" w:rsidRDefault="007234D0" w:rsidP="005A4080">
            <w:pPr>
              <w:rPr>
                <w:rFonts w:eastAsia="Times New Roman" w:cs="Times New Roman"/>
              </w:rPr>
            </w:pPr>
            <w:r>
              <w:rPr>
                <w:rFonts w:eastAsia="Times New Roman" w:hAnsi="Symbol" w:cs="Times New Roman"/>
              </w:rPr>
              <w:t></w:t>
            </w:r>
            <w:r>
              <w:rPr>
                <w:rFonts w:eastAsia="Times New Roman" w:cs="Times New Roman"/>
              </w:rPr>
              <w:t xml:space="preserve">  Source code for the various examples and applications used by the </w:t>
            </w:r>
            <w:hyperlink r:id="rId30" w:history="1">
              <w:r>
                <w:rPr>
                  <w:rStyle w:val="Hyperlink"/>
                  <w:rFonts w:eastAsia="Times New Roman" w:cs="Times New Roman"/>
                  <w:color w:val="428BCA"/>
                </w:rPr>
                <w:t>ALICE masterclasses</w:t>
              </w:r>
            </w:hyperlink>
          </w:p>
        </w:tc>
      </w:tr>
      <w:tr w:rsidR="007234D0" w14:paraId="09831F74" w14:textId="77777777" w:rsidTr="007234D0">
        <w:tc>
          <w:tcPr>
            <w:tcW w:w="1668" w:type="dxa"/>
          </w:tcPr>
          <w:p w14:paraId="1608407A" w14:textId="065A5E2A" w:rsidR="007234D0" w:rsidRDefault="007234D0" w:rsidP="005A4080">
            <w:r>
              <w:t>ATLAS</w:t>
            </w:r>
          </w:p>
        </w:tc>
        <w:tc>
          <w:tcPr>
            <w:tcW w:w="3827" w:type="dxa"/>
          </w:tcPr>
          <w:p w14:paraId="170036CD" w14:textId="1B1972EB" w:rsidR="007234D0" w:rsidRPr="007234D0" w:rsidRDefault="007234D0" w:rsidP="007234D0">
            <w:r w:rsidRPr="007234D0">
              <w:t>The available dataset is derived from actual data recor</w:t>
            </w:r>
            <w:r>
              <w:t>d</w:t>
            </w:r>
            <w:r w:rsidRPr="007234D0">
              <w:t xml:space="preserve">ed by ATLAS during the 2011 run. There </w:t>
            </w:r>
            <w:r w:rsidRPr="007234D0">
              <w:lastRenderedPageBreak/>
              <w:t>are 6 pa</w:t>
            </w:r>
            <w:r>
              <w:t>ckages of 1000 events each tota</w:t>
            </w:r>
            <w:r w:rsidRPr="007234D0">
              <w:t>ling 6000 events. These events have been preselected to provide a high amount of interesting physics events. The data are saved in an XML format that can be read with the event display program MINERVA. A python-based framework for the analysis of the data is in the works.</w:t>
            </w:r>
          </w:p>
          <w:p w14:paraId="559E563F" w14:textId="6A8826B6" w:rsidR="007234D0" w:rsidRDefault="007234D0" w:rsidP="005A4080">
            <w:r w:rsidRPr="007234D0">
              <w:t>The dataset from the ATLAS Higgs Machine Learning Challenge is also available. The Challenge, which ran from May to September 2014, was to develop an algorithm that improved the detection of the Higgs boson signal. Participants applied and developed cutting-edge Machine Learning techniques, which have been shown to be better than existing traditional high-energy physics tools. The dataset that was available to Challenge participants through the Kaggle platform is now available on the CERN Open Data Portal to allow further studies.</w:t>
            </w:r>
          </w:p>
        </w:tc>
        <w:tc>
          <w:tcPr>
            <w:tcW w:w="3021" w:type="dxa"/>
          </w:tcPr>
          <w:p w14:paraId="365F8521" w14:textId="77777777" w:rsidR="007234D0" w:rsidRDefault="007234D0" w:rsidP="005A4080"/>
        </w:tc>
      </w:tr>
      <w:tr w:rsidR="007234D0" w14:paraId="7E809A90" w14:textId="77777777" w:rsidTr="007234D0">
        <w:tc>
          <w:tcPr>
            <w:tcW w:w="1668" w:type="dxa"/>
          </w:tcPr>
          <w:p w14:paraId="46FC7AFF" w14:textId="26B68D09" w:rsidR="007234D0" w:rsidRDefault="007234D0" w:rsidP="005A4080">
            <w:r>
              <w:lastRenderedPageBreak/>
              <w:t>CMS</w:t>
            </w:r>
          </w:p>
        </w:tc>
        <w:tc>
          <w:tcPr>
            <w:tcW w:w="3827" w:type="dxa"/>
          </w:tcPr>
          <w:p w14:paraId="5C288144" w14:textId="77777777" w:rsidR="007234D0" w:rsidRPr="007234D0" w:rsidRDefault="007234D0" w:rsidP="007234D0">
            <w:r w:rsidRPr="007234D0">
              <w:t>Downloadable datasets</w:t>
            </w:r>
          </w:p>
          <w:p w14:paraId="18F3E96B" w14:textId="77777777" w:rsidR="007234D0" w:rsidRPr="007234D0" w:rsidRDefault="007234D0" w:rsidP="007234D0">
            <w:pPr>
              <w:numPr>
                <w:ilvl w:val="0"/>
                <w:numId w:val="20"/>
              </w:numPr>
              <w:tabs>
                <w:tab w:val="num" w:pos="720"/>
              </w:tabs>
            </w:pPr>
            <w:hyperlink r:id="rId31" w:history="1">
              <w:r w:rsidRPr="007234D0">
                <w:rPr>
                  <w:rStyle w:val="Hyperlink"/>
                </w:rPr>
                <w:t>Primary datasets</w:t>
              </w:r>
            </w:hyperlink>
            <w:r w:rsidRPr="007234D0">
              <w:t>:full reconstructed collision data with no other selections. The data here are referred to as "reconstructed data": fragmented data from various sub-detectors are processed or "reconstructed" to provide coherent information about individual </w:t>
            </w:r>
            <w:hyperlink r:id="rId32" w:history="1">
              <w:r w:rsidRPr="007234D0">
                <w:rPr>
                  <w:rStyle w:val="Hyperlink"/>
                </w:rPr>
                <w:t>physics objects</w:t>
              </w:r>
            </w:hyperlink>
            <w:r w:rsidRPr="007234D0">
              <w:t> such as </w:t>
            </w:r>
            <w:hyperlink r:id="rId33" w:history="1">
              <w:r w:rsidRPr="007234D0">
                <w:rPr>
                  <w:rStyle w:val="Hyperlink"/>
                </w:rPr>
                <w:t>electrons</w:t>
              </w:r>
            </w:hyperlink>
            <w:r w:rsidRPr="007234D0">
              <w:t> or </w:t>
            </w:r>
            <w:hyperlink r:id="rId34" w:history="1">
              <w:r w:rsidRPr="007234D0">
                <w:rPr>
                  <w:rStyle w:val="Hyperlink"/>
                </w:rPr>
                <w:t>particle jets</w:t>
              </w:r>
            </w:hyperlink>
          </w:p>
          <w:p w14:paraId="604E6DEF" w14:textId="77777777" w:rsidR="007234D0" w:rsidRPr="007234D0" w:rsidRDefault="007234D0" w:rsidP="007234D0">
            <w:pPr>
              <w:numPr>
                <w:ilvl w:val="0"/>
                <w:numId w:val="20"/>
              </w:numPr>
              <w:tabs>
                <w:tab w:val="num" w:pos="720"/>
              </w:tabs>
            </w:pPr>
            <w:hyperlink r:id="rId35" w:history="1">
              <w:r w:rsidRPr="007234D0">
                <w:rPr>
                  <w:rStyle w:val="Hyperlink"/>
                </w:rPr>
                <w:t>Simulation data</w:t>
              </w:r>
            </w:hyperlink>
            <w:r w:rsidRPr="007234D0">
              <w:t> (for data from 2011)</w:t>
            </w:r>
          </w:p>
          <w:p w14:paraId="5F075E6E" w14:textId="6D3C4D83" w:rsidR="007234D0" w:rsidRDefault="007234D0" w:rsidP="005A4080">
            <w:pPr>
              <w:numPr>
                <w:ilvl w:val="0"/>
                <w:numId w:val="20"/>
              </w:numPr>
            </w:pPr>
            <w:r w:rsidRPr="007234D0">
              <w:t>Examples of </w:t>
            </w:r>
            <w:hyperlink r:id="rId36" w:history="1">
              <w:r w:rsidRPr="007234D0">
                <w:rPr>
                  <w:rStyle w:val="Hyperlink"/>
                </w:rPr>
                <w:t>simplified datasets</w:t>
              </w:r>
            </w:hyperlink>
            <w:r w:rsidRPr="007234D0">
              <w:t> derived from the primary ones for use in different applications and analyses</w:t>
            </w:r>
          </w:p>
        </w:tc>
        <w:tc>
          <w:tcPr>
            <w:tcW w:w="3021" w:type="dxa"/>
          </w:tcPr>
          <w:p w14:paraId="190D6D5A" w14:textId="77777777" w:rsidR="007234D0" w:rsidRPr="007234D0" w:rsidRDefault="007234D0" w:rsidP="007234D0">
            <w:pPr>
              <w:numPr>
                <w:ilvl w:val="0"/>
                <w:numId w:val="20"/>
              </w:numPr>
              <w:tabs>
                <w:tab w:val="num" w:pos="720"/>
              </w:tabs>
            </w:pPr>
            <w:r w:rsidRPr="007234D0">
              <w:t>A downloadable </w:t>
            </w:r>
            <w:hyperlink r:id="rId37" w:history="1">
              <w:r w:rsidRPr="007234D0">
                <w:t>Virtual Machine (VM)</w:t>
              </w:r>
            </w:hyperlink>
            <w:r w:rsidRPr="007234D0">
              <w:t> image with the CMS software environment through which the primary datasets can be accessed</w:t>
            </w:r>
          </w:p>
          <w:p w14:paraId="3328CA39" w14:textId="77777777" w:rsidR="007234D0" w:rsidRPr="007234D0" w:rsidRDefault="007234D0" w:rsidP="007234D0">
            <w:pPr>
              <w:numPr>
                <w:ilvl w:val="0"/>
                <w:numId w:val="20"/>
              </w:numPr>
              <w:tabs>
                <w:tab w:val="num" w:pos="720"/>
              </w:tabs>
            </w:pPr>
            <w:r w:rsidRPr="007234D0">
              <w:t>An </w:t>
            </w:r>
            <w:hyperlink r:id="rId38" w:history="1">
              <w:r w:rsidRPr="007234D0">
                <w:t>analysis example chain</w:t>
              </w:r>
            </w:hyperlink>
            <w:r w:rsidRPr="007234D0">
              <w:t>, reading the primary dataset and producing intermediate derived data for the final analysis</w:t>
            </w:r>
          </w:p>
          <w:p w14:paraId="3EE2ACD9" w14:textId="77777777" w:rsidR="007234D0" w:rsidRPr="007234D0" w:rsidRDefault="007234D0" w:rsidP="007234D0">
            <w:pPr>
              <w:numPr>
                <w:ilvl w:val="0"/>
                <w:numId w:val="20"/>
              </w:numPr>
              <w:tabs>
                <w:tab w:val="num" w:pos="720"/>
              </w:tabs>
            </w:pPr>
            <w:r w:rsidRPr="007234D0">
              <w:t>Ready-to-use online applications, such as </w:t>
            </w:r>
            <w:hyperlink r:id="rId39" w:history="1">
              <w:r w:rsidRPr="007234D0">
                <w:t>an event display</w:t>
              </w:r>
            </w:hyperlink>
            <w:r w:rsidRPr="007234D0">
              <w:t> and </w:t>
            </w:r>
            <w:hyperlink r:id="rId40" w:history="1">
              <w:r w:rsidRPr="007234D0">
                <w:t>simple histogramming software</w:t>
              </w:r>
            </w:hyperlink>
          </w:p>
          <w:p w14:paraId="38BE7AFA" w14:textId="1DCEFA45" w:rsidR="007234D0" w:rsidRPr="007234D0" w:rsidRDefault="007234D0" w:rsidP="007234D0">
            <w:pPr>
              <w:numPr>
                <w:ilvl w:val="0"/>
                <w:numId w:val="20"/>
              </w:numPr>
              <w:tabs>
                <w:tab w:val="num" w:pos="720"/>
              </w:tabs>
            </w:pPr>
            <w:r w:rsidRPr="007234D0">
              <w:t xml:space="preserve">Source code for the various examples and applications, available </w:t>
            </w:r>
            <w:r w:rsidRPr="007234D0">
              <w:lastRenderedPageBreak/>
              <w:t>in the </w:t>
            </w:r>
            <w:hyperlink r:id="rId41" w:history="1">
              <w:r w:rsidRPr="007234D0">
                <w:t>CMS Tools</w:t>
              </w:r>
            </w:hyperlink>
            <w:r w:rsidRPr="007234D0">
              <w:t> collection</w:t>
            </w:r>
          </w:p>
        </w:tc>
      </w:tr>
      <w:tr w:rsidR="007234D0" w14:paraId="38E936DB" w14:textId="77777777" w:rsidTr="007234D0">
        <w:tc>
          <w:tcPr>
            <w:tcW w:w="1668" w:type="dxa"/>
          </w:tcPr>
          <w:p w14:paraId="65390DF8" w14:textId="65EA2FB2" w:rsidR="007234D0" w:rsidRDefault="007234D0" w:rsidP="005A4080">
            <w:r>
              <w:lastRenderedPageBreak/>
              <w:t>LHCb</w:t>
            </w:r>
          </w:p>
        </w:tc>
        <w:tc>
          <w:tcPr>
            <w:tcW w:w="3827" w:type="dxa"/>
          </w:tcPr>
          <w:p w14:paraId="243D3E66" w14:textId="77777777" w:rsidR="007234D0" w:rsidRDefault="007234D0" w:rsidP="005A4080">
            <w:r w:rsidRPr="007234D0">
              <w:t>Event display datasets, containing events where a D0 meson decays into a Kaon and a Pion. These datasets can be displayed with LHCb simplified event display.</w:t>
            </w:r>
          </w:p>
          <w:p w14:paraId="58D9D8CE" w14:textId="5C8F9290" w:rsidR="007234D0" w:rsidRDefault="007234D0" w:rsidP="005A4080">
            <w:r w:rsidRPr="007234D0">
              <w:t>About 60k events where a D0 meson decays into a Kaon and a Pion. This dataset can be used to study signal and background distributions of variables characterizing the D0 decay and to measure the D0 lifetime.</w:t>
            </w:r>
          </w:p>
        </w:tc>
        <w:tc>
          <w:tcPr>
            <w:tcW w:w="3021" w:type="dxa"/>
          </w:tcPr>
          <w:p w14:paraId="385F3E63" w14:textId="77777777" w:rsidR="007234D0" w:rsidRDefault="007234D0" w:rsidP="005A4080"/>
        </w:tc>
      </w:tr>
    </w:tbl>
    <w:p w14:paraId="3024CFA9" w14:textId="77777777" w:rsidR="007234D0" w:rsidRPr="005A4080" w:rsidRDefault="007234D0" w:rsidP="005A4080"/>
    <w:p w14:paraId="569D0076" w14:textId="7AA17972" w:rsidR="005A4080" w:rsidRPr="005A4080" w:rsidRDefault="0027588F">
      <w:pPr>
        <w:rPr>
          <w:lang w:val="en"/>
        </w:rPr>
      </w:pPr>
      <w:r>
        <w:rPr>
          <w:lang w:val="en"/>
        </w:rPr>
        <w:br w:type="page"/>
      </w:r>
    </w:p>
    <w:p w14:paraId="28D842C0" w14:textId="0608F5C2" w:rsidR="00F24852" w:rsidRDefault="00F24852" w:rsidP="008B0C51">
      <w:pPr>
        <w:pStyle w:val="Heading1"/>
        <w:rPr>
          <w:lang w:val="en"/>
        </w:rPr>
      </w:pPr>
      <w:r w:rsidRPr="00F24852">
        <w:rPr>
          <w:lang w:val="en"/>
        </w:rPr>
        <w:lastRenderedPageBreak/>
        <w:t>4) Digital Object Management</w:t>
      </w:r>
    </w:p>
    <w:p w14:paraId="4E05E91C" w14:textId="44BE020D" w:rsidR="00F24852" w:rsidRDefault="00F24852" w:rsidP="00F24852">
      <w:pPr>
        <w:pStyle w:val="Heading2"/>
      </w:pPr>
      <w:r>
        <w:t>4.1) Ingest - Acquisition of Content</w:t>
      </w:r>
    </w:p>
    <w:p w14:paraId="53CCC71D" w14:textId="48619925" w:rsidR="00F24852" w:rsidRDefault="00F24852" w:rsidP="00F24852">
      <w:pPr>
        <w:pStyle w:val="Heading2"/>
      </w:pPr>
      <w:r>
        <w:t>4.2) Ingest - Creation of the AIP</w:t>
      </w:r>
    </w:p>
    <w:p w14:paraId="71FF8B9C" w14:textId="633CF3E9" w:rsidR="00F24852" w:rsidRDefault="00F24852" w:rsidP="00F24852">
      <w:pPr>
        <w:pStyle w:val="Heading2"/>
      </w:pPr>
      <w:r>
        <w:t>4.3) Preservation Planning</w:t>
      </w:r>
    </w:p>
    <w:p w14:paraId="739BC4F9" w14:textId="346618D2" w:rsidR="00F24852" w:rsidRDefault="00F24852" w:rsidP="00F24852">
      <w:pPr>
        <w:pStyle w:val="Heading2"/>
      </w:pPr>
      <w:r>
        <w:t>4.4) AIP Preservation</w:t>
      </w:r>
    </w:p>
    <w:p w14:paraId="39E0747A" w14:textId="4BD30EB3" w:rsidR="00F24852" w:rsidRDefault="00F24852" w:rsidP="00F24852">
      <w:pPr>
        <w:pStyle w:val="Heading2"/>
      </w:pPr>
      <w:r>
        <w:t>4.5) Information Management</w:t>
      </w:r>
    </w:p>
    <w:p w14:paraId="20C8CD53" w14:textId="7AE7BDC5" w:rsidR="00F24852" w:rsidRPr="00F24852" w:rsidRDefault="00F24852" w:rsidP="00F24852">
      <w:pPr>
        <w:pStyle w:val="Heading2"/>
      </w:pPr>
      <w:r>
        <w:t>4.6) Access Management</w:t>
      </w:r>
    </w:p>
    <w:p w14:paraId="48F9C5ED" w14:textId="77777777" w:rsidR="00F24852" w:rsidRDefault="00F24852">
      <w:pPr>
        <w:rPr>
          <w:rFonts w:asciiTheme="majorHAnsi" w:eastAsiaTheme="majorEastAsia" w:hAnsiTheme="majorHAnsi" w:cstheme="majorBidi"/>
          <w:b/>
          <w:bCs/>
          <w:color w:val="345A8A" w:themeColor="accent1" w:themeShade="B5"/>
          <w:sz w:val="32"/>
          <w:szCs w:val="32"/>
          <w:lang w:val="en"/>
        </w:rPr>
      </w:pPr>
      <w:r>
        <w:rPr>
          <w:lang w:val="en"/>
        </w:rPr>
        <w:br w:type="page"/>
      </w:r>
    </w:p>
    <w:p w14:paraId="36B87370" w14:textId="5677B223" w:rsidR="008B0C51" w:rsidRDefault="008B0C51" w:rsidP="008B0C51">
      <w:pPr>
        <w:pStyle w:val="Heading1"/>
        <w:rPr>
          <w:lang w:val="en"/>
        </w:rPr>
      </w:pPr>
      <w:r w:rsidRPr="008B0C51">
        <w:rPr>
          <w:lang w:val="en"/>
        </w:rPr>
        <w:lastRenderedPageBreak/>
        <w:t>5) Infrastructure and Security Risk Management</w:t>
      </w:r>
    </w:p>
    <w:p w14:paraId="5D3155BE" w14:textId="77777777" w:rsidR="008B0C51" w:rsidRPr="008B0C51" w:rsidRDefault="008B0C51" w:rsidP="008B0C51">
      <w:pPr>
        <w:pStyle w:val="Heading2"/>
        <w:rPr>
          <w:lang w:val="en"/>
        </w:rPr>
      </w:pPr>
      <w:r w:rsidRPr="008B0C51">
        <w:rPr>
          <w:lang w:val="en"/>
        </w:rPr>
        <w:t>5.1) Technical Infrastructure Risk Management</w:t>
      </w:r>
    </w:p>
    <w:p w14:paraId="22A4DFBD" w14:textId="3F954386" w:rsidR="008B0C51" w:rsidRDefault="008B0C51" w:rsidP="007E6CAE">
      <w:pPr>
        <w:pStyle w:val="Heading3"/>
      </w:pPr>
      <w:r w:rsidRPr="008B0C51">
        <w:t>5.1.1 - The repository shall identify and manage the risks to its preservation operations and goals associated with system infrastructure</w:t>
      </w:r>
    </w:p>
    <w:p w14:paraId="057F95EB" w14:textId="77777777" w:rsidR="0034288B" w:rsidRDefault="0034288B" w:rsidP="0034288B"/>
    <w:p w14:paraId="0AA71E48" w14:textId="1F7793E3" w:rsidR="0034288B" w:rsidRDefault="0034288B" w:rsidP="0034288B">
      <w:r>
        <w:t>In addition to the detailed risks described below, important risks and their eventual mitigation are described in the DPHEP Blueprint (2012) and the DPHEP Status Report (2015). These include:</w:t>
      </w:r>
    </w:p>
    <w:p w14:paraId="26A83EA2" w14:textId="77777777" w:rsidR="0034288B" w:rsidRDefault="0034288B" w:rsidP="0034288B"/>
    <w:p w14:paraId="4971266F" w14:textId="27BA3EF6" w:rsidR="0034288B" w:rsidRDefault="0034288B" w:rsidP="0034288B">
      <w:pPr>
        <w:pStyle w:val="ListParagraph"/>
        <w:numPr>
          <w:ilvl w:val="0"/>
          <w:numId w:val="4"/>
        </w:numPr>
      </w:pPr>
      <w:r>
        <w:t xml:space="preserve">Viewing data preservation as a “destination”, rather than a “journey”. </w:t>
      </w:r>
      <w:r>
        <w:br/>
      </w:r>
      <w:r>
        <w:br/>
        <w:t>Experience shows us that constant investment / effort is required to keep data “alive”. This includes not only media checking / migration etc</w:t>
      </w:r>
      <w:r w:rsidR="00866591">
        <w:t>.</w:t>
      </w:r>
      <w:r>
        <w:t xml:space="preserve"> but ensuring that the associated software and documentation remains valid. This requires a “small” amount of effort</w:t>
      </w:r>
      <w:r w:rsidR="00866591">
        <w:t xml:space="preserve"> – as little as a fraction of an FTE for past experiments – but “zero will not do”.</w:t>
      </w:r>
    </w:p>
    <w:p w14:paraId="6E545548" w14:textId="77777777" w:rsidR="00866591" w:rsidRDefault="00866591" w:rsidP="00866591"/>
    <w:p w14:paraId="68FCE8B6" w14:textId="5CB83AD3" w:rsidR="00866591" w:rsidRDefault="00866591" w:rsidP="00866591">
      <w:pPr>
        <w:pStyle w:val="ListParagraph"/>
        <w:numPr>
          <w:ilvl w:val="0"/>
          <w:numId w:val="4"/>
        </w:numPr>
      </w:pPr>
      <w:r>
        <w:t>Being prepared for, and handling, “disruptive changes”.</w:t>
      </w:r>
      <w:r>
        <w:br/>
      </w:r>
      <w:r>
        <w:br/>
        <w:t>Over the long term (one or more decades) services and technologies are bound to change. The list of potential “threats” is long and includes external libraries (e.g. graphics packages, used for “event displays” to help validate the software), data discovery and access protocols, database systems – in fact every component of a LTDP system. Use of industry standards and formats can help; significant migrations have been handled during the active life of an experiment (and even beyond), but sooner or later, something will break requiring significant expertise and / or resources to fix. Should the data continue to have sufficient value, these resources will be found – a “cost / benefit” analysis.</w:t>
      </w:r>
    </w:p>
    <w:p w14:paraId="53A42F52" w14:textId="77777777" w:rsidR="00866591" w:rsidRDefault="00866591" w:rsidP="00866591"/>
    <w:p w14:paraId="0062369F" w14:textId="08A0F3D3" w:rsidR="00866591" w:rsidRPr="0034288B" w:rsidRDefault="00866591" w:rsidP="00866591">
      <w:pPr>
        <w:pStyle w:val="ListParagraph"/>
        <w:numPr>
          <w:ilvl w:val="0"/>
          <w:numId w:val="4"/>
        </w:numPr>
      </w:pPr>
      <w:r>
        <w:t>Unforeseen technological or financial situations.</w:t>
      </w:r>
      <w:r>
        <w:br/>
      </w:r>
      <w:r>
        <w:br/>
        <w:t xml:space="preserve">Whereas for many years we have benefited from Moore’s and Kryder’s laws, these cannot continue, unmodified, “forever”. External factors may prevent vendors in delivering systems according to their roadmaps and / or they may alter them due to marketing decisions. Detailed technology watches </w:t>
      </w:r>
      <w:r w:rsidR="00505D53">
        <w:t>provide some mitigation but no absolute protection.</w:t>
      </w:r>
    </w:p>
    <w:p w14:paraId="2C5E8E73" w14:textId="4ABF5B1B" w:rsidR="004E4510" w:rsidRDefault="008B0C51" w:rsidP="004E4510">
      <w:pPr>
        <w:pStyle w:val="Heading4"/>
      </w:pPr>
      <w:r w:rsidRPr="008B0C51">
        <w:lastRenderedPageBreak/>
        <w:t>5.1.1.1 - The repository shall employ technology watches or other technology monitoring notification systems.</w:t>
      </w:r>
    </w:p>
    <w:p w14:paraId="1391A4C7" w14:textId="77777777" w:rsidR="004E4510" w:rsidRDefault="004E4510" w:rsidP="004E4510">
      <w:pPr>
        <w:pStyle w:val="Heading5"/>
      </w:pPr>
      <w:r>
        <w:t>5.1.1.1.1 - The repository shall have hardware technologies appropriate to the services it provides to its designated communities.</w:t>
      </w:r>
    </w:p>
    <w:p w14:paraId="556B193E" w14:textId="77777777" w:rsidR="004E4510" w:rsidRDefault="004E4510" w:rsidP="004E4510">
      <w:pPr>
        <w:pStyle w:val="Heading5"/>
      </w:pPr>
      <w:r>
        <w:t>5.1.1.1.2 - The repository shall have procedures in place to monitor and receive notifications when hardware technology changes are needed.</w:t>
      </w:r>
    </w:p>
    <w:p w14:paraId="08B44D26" w14:textId="77777777" w:rsidR="004E4510" w:rsidRDefault="004E4510" w:rsidP="004E4510">
      <w:pPr>
        <w:pStyle w:val="Heading5"/>
      </w:pPr>
      <w:r>
        <w:t>5.1.1.1.3 - The repository shall have procedures in place to evaluate when changes are needed to current hardware.</w:t>
      </w:r>
    </w:p>
    <w:p w14:paraId="08005452" w14:textId="77777777" w:rsidR="004E4510" w:rsidRDefault="004E4510" w:rsidP="004E4510">
      <w:pPr>
        <w:pStyle w:val="Heading5"/>
      </w:pPr>
      <w:r>
        <w:t>5.1.1.1.4 - The repository shall have procedures, commitment and funding to replace hardware when evaluation indicates the need to do so.</w:t>
      </w:r>
    </w:p>
    <w:p w14:paraId="014575BA" w14:textId="77777777" w:rsidR="00C552E0" w:rsidRDefault="00C552E0" w:rsidP="00C552E0"/>
    <w:p w14:paraId="10964164" w14:textId="7908E14D" w:rsidR="00C552E0" w:rsidRDefault="00C552E0" w:rsidP="00C552E0">
      <w:pPr>
        <w:rPr>
          <w:rFonts w:cs="Arial"/>
          <w:lang w:val="en-GB"/>
        </w:rPr>
      </w:pPr>
      <w:r>
        <w:rPr>
          <w:rFonts w:cs="Arial"/>
          <w:lang w:val="en-GB"/>
        </w:rPr>
        <w:t>(5.1.1.1.1-5.1.1.1.4) Following t</w:t>
      </w:r>
      <w:r w:rsidRPr="00E37677">
        <w:rPr>
          <w:rFonts w:cs="Arial"/>
          <w:lang w:val="en-GB"/>
        </w:rPr>
        <w:t xml:space="preserve">echnology evolution </w:t>
      </w:r>
      <w:r>
        <w:rPr>
          <w:rFonts w:cs="Arial"/>
          <w:lang w:val="en-GB"/>
        </w:rPr>
        <w:t xml:space="preserve">in order to suit CERN’s physics data archiving needs </w:t>
      </w:r>
      <w:r w:rsidRPr="00E37677">
        <w:rPr>
          <w:rFonts w:cs="Arial"/>
          <w:lang w:val="en-GB"/>
        </w:rPr>
        <w:t>is a core element in CERN’s archive resource planning</w:t>
      </w:r>
      <w:r>
        <w:rPr>
          <w:rFonts w:cs="Arial"/>
          <w:lang w:val="en-GB"/>
        </w:rPr>
        <w:t>.</w:t>
      </w:r>
    </w:p>
    <w:p w14:paraId="6F574336" w14:textId="77777777" w:rsidR="00C552E0" w:rsidRPr="00E37677" w:rsidRDefault="00C552E0" w:rsidP="00C552E0">
      <w:pPr>
        <w:rPr>
          <w:rFonts w:cs="Arial"/>
          <w:lang w:val="en-GB"/>
        </w:rPr>
      </w:pPr>
      <w:r w:rsidRPr="00E37677">
        <w:rPr>
          <w:rFonts w:cs="Arial"/>
          <w:lang w:val="en-GB"/>
        </w:rPr>
        <w:t xml:space="preserve">CERN closely works with storage vendors in order to discuss technology roadmap previews (via NDA agreements) and get early access to new-generation storage hardware and media. We regularly participate to beta-testing of media and hardware in order to assess performance and functionality against CERN requirements and provide feedback to vendors. One example of such testing can be found under [X]. As another example, a vendor note regarding testing of new tape libraries by CERN can be found here: [X]. </w:t>
      </w:r>
    </w:p>
    <w:p w14:paraId="01BA5D11" w14:textId="77777777" w:rsidR="00C552E0" w:rsidRPr="00E37677" w:rsidRDefault="00C552E0" w:rsidP="00C552E0">
      <w:pPr>
        <w:rPr>
          <w:rFonts w:cs="Arial"/>
          <w:lang w:val="en-GB"/>
        </w:rPr>
      </w:pPr>
      <w:r w:rsidRPr="00E37677">
        <w:rPr>
          <w:rFonts w:cs="Arial"/>
          <w:lang w:val="en-GB"/>
        </w:rPr>
        <w:t>CERN also keeps regular exchanges with other large-scale archive sites and the world-wide tape user community. CERN has regularly been represented in the Large Tape User’s Group (LTUG, [X]) board. CERN has also co-chaired, as well as contributed experiences and planning resources to the HEPiX bit-preservation Working Group [X].</w:t>
      </w:r>
    </w:p>
    <w:p w14:paraId="6590FEC2" w14:textId="77777777" w:rsidR="00C552E0" w:rsidRPr="00E37677" w:rsidRDefault="00C552E0" w:rsidP="00C552E0">
      <w:pPr>
        <w:rPr>
          <w:rFonts w:cs="Arial"/>
          <w:lang w:val="en-GB"/>
        </w:rPr>
      </w:pPr>
      <w:r w:rsidRPr="00E37677">
        <w:rPr>
          <w:rFonts w:cs="Arial"/>
          <w:lang w:val="en-GB"/>
        </w:rPr>
        <w:t>All relevant information obtained from vendors, industry consortia (such as the INSIC roadmap [X]), peer institutes and tape user community, CERN’s own analysis (for example [X]) etc. is used as input for CERN’s archive resource planning and for preparation of tender and purchase orders.</w:t>
      </w:r>
    </w:p>
    <w:p w14:paraId="068A516B" w14:textId="77777777" w:rsidR="00C552E0" w:rsidRDefault="00C552E0" w:rsidP="00C552E0">
      <w:pPr>
        <w:rPr>
          <w:rFonts w:cs="Arial"/>
          <w:lang w:val="en-GB"/>
        </w:rPr>
      </w:pPr>
      <w:r w:rsidRPr="00E37677">
        <w:rPr>
          <w:rFonts w:cs="Arial"/>
          <w:lang w:val="en-GB"/>
        </w:rPr>
        <w:t>CERN also investigates alternatives to tape for long-term storage, such as using commodity disk systems with software-provided redundancy such as erasure coding within the CERN EOS disk management system [X].</w:t>
      </w:r>
      <w:r>
        <w:rPr>
          <w:rFonts w:cs="Arial"/>
          <w:lang w:val="en-GB"/>
        </w:rPr>
        <w:t xml:space="preserve"> </w:t>
      </w:r>
    </w:p>
    <w:p w14:paraId="0362206F" w14:textId="77777777" w:rsidR="00C552E0" w:rsidRPr="00D40AE0" w:rsidRDefault="00C552E0" w:rsidP="00C552E0">
      <w:pPr>
        <w:rPr>
          <w:rFonts w:cs="Arial"/>
          <w:lang w:val="en-GB"/>
        </w:rPr>
      </w:pPr>
      <w:r w:rsidRPr="00E37677">
        <w:rPr>
          <w:rFonts w:cs="Arial"/>
          <w:lang w:val="en-GB"/>
        </w:rPr>
        <w:t xml:space="preserve">CERN replaces the tape hardware infrastructure every 4-5 years, as </w:t>
      </w:r>
      <w:r>
        <w:rPr>
          <w:rFonts w:cs="Arial"/>
          <w:lang w:val="en-GB"/>
        </w:rPr>
        <w:t xml:space="preserve">on one hand, </w:t>
      </w:r>
      <w:r w:rsidRPr="00E37677">
        <w:rPr>
          <w:rFonts w:cs="Arial"/>
          <w:lang w:val="en-GB"/>
        </w:rPr>
        <w:t xml:space="preserve">it may become difficult to find replacements for tape drives, firmware patches or software drivers for new operating system versions. </w:t>
      </w:r>
      <w:r>
        <w:rPr>
          <w:rFonts w:cs="Arial"/>
          <w:lang w:val="en-GB"/>
        </w:rPr>
        <w:t>On the other hand</w:t>
      </w:r>
      <w:r w:rsidRPr="00E37677">
        <w:rPr>
          <w:rFonts w:cs="Arial"/>
          <w:lang w:val="en-GB"/>
        </w:rPr>
        <w:t>, new tape drive and media generations usually provide higher capacity, speed and increased reliability over older generations.</w:t>
      </w:r>
      <w:r>
        <w:rPr>
          <w:rFonts w:cs="Arial"/>
          <w:lang w:val="en-GB"/>
        </w:rPr>
        <w:t xml:space="preserve"> Hardware purchases are funded from the central and long-term budgets allocated by the Organization to LHC Computing.</w:t>
      </w:r>
    </w:p>
    <w:p w14:paraId="6682FC64" w14:textId="77777777" w:rsidR="00C552E0" w:rsidRDefault="00C552E0" w:rsidP="00C552E0">
      <w:pPr>
        <w:widowControl w:val="0"/>
        <w:autoSpaceDE w:val="0"/>
        <w:autoSpaceDN w:val="0"/>
        <w:adjustRightInd w:val="0"/>
        <w:rPr>
          <w:lang w:val="en-GB"/>
        </w:rPr>
      </w:pPr>
    </w:p>
    <w:p w14:paraId="4A197FC3" w14:textId="77777777" w:rsidR="00C552E0" w:rsidRDefault="00C552E0" w:rsidP="00C552E0">
      <w:pPr>
        <w:widowControl w:val="0"/>
        <w:autoSpaceDE w:val="0"/>
        <w:autoSpaceDN w:val="0"/>
        <w:adjustRightInd w:val="0"/>
        <w:rPr>
          <w:lang w:val="en-GB"/>
        </w:rPr>
      </w:pPr>
      <w:r>
        <w:rPr>
          <w:lang w:val="en-GB"/>
        </w:rPr>
        <w:t xml:space="preserve">[X] Oracle StorageTek T10000D beta-testing report: </w:t>
      </w:r>
      <w:r w:rsidRPr="009211A9">
        <w:rPr>
          <w:lang w:val="en-GB"/>
        </w:rPr>
        <w:t>http://indico.cern.ch/event/282323/contributions/639674/attachments/519219/716344/T10000D-CERN-beta-test-summary.pdf</w:t>
      </w:r>
    </w:p>
    <w:p w14:paraId="4F474A35" w14:textId="77777777" w:rsidR="00C552E0" w:rsidRDefault="00C552E0" w:rsidP="00C552E0">
      <w:pPr>
        <w:widowControl w:val="0"/>
        <w:autoSpaceDE w:val="0"/>
        <w:autoSpaceDN w:val="0"/>
        <w:adjustRightInd w:val="0"/>
        <w:rPr>
          <w:lang w:val="en-GB"/>
        </w:rPr>
      </w:pPr>
      <w:r>
        <w:rPr>
          <w:lang w:val="en-GB"/>
        </w:rPr>
        <w:t xml:space="preserve">[X] </w:t>
      </w:r>
      <w:hyperlink r:id="rId42" w:history="1">
        <w:r w:rsidRPr="002F4F07">
          <w:rPr>
            <w:rStyle w:val="Hyperlink"/>
            <w:lang w:val="en-GB"/>
          </w:rPr>
          <w:t>https://www.spectralogic.com/2011/11/21/cern-evaluates-spectra-logic-tape-technology-to-store-large-hadron-collider-research-data/</w:t>
        </w:r>
      </w:hyperlink>
    </w:p>
    <w:p w14:paraId="7CF6C272" w14:textId="77777777" w:rsidR="00C552E0" w:rsidRDefault="00C552E0" w:rsidP="00C552E0">
      <w:pPr>
        <w:widowControl w:val="0"/>
        <w:autoSpaceDE w:val="0"/>
        <w:autoSpaceDN w:val="0"/>
        <w:adjustRightInd w:val="0"/>
        <w:rPr>
          <w:lang w:val="en-GB"/>
        </w:rPr>
      </w:pPr>
      <w:r>
        <w:rPr>
          <w:lang w:val="en-GB"/>
        </w:rPr>
        <w:lastRenderedPageBreak/>
        <w:t xml:space="preserve">[X] Large Tape User’s Group (LTUG): </w:t>
      </w:r>
      <w:hyperlink r:id="rId43" w:history="1">
        <w:r w:rsidRPr="002F4F07">
          <w:rPr>
            <w:rStyle w:val="Hyperlink"/>
            <w:lang w:val="en-GB"/>
          </w:rPr>
          <w:t>http://www.ioug.org/p/cm/ld/fid=148&amp;gid=632</w:t>
        </w:r>
      </w:hyperlink>
    </w:p>
    <w:p w14:paraId="218E7E89" w14:textId="77777777" w:rsidR="00C552E0" w:rsidRDefault="00C552E0" w:rsidP="00C552E0">
      <w:pPr>
        <w:widowControl w:val="0"/>
        <w:autoSpaceDE w:val="0"/>
        <w:autoSpaceDN w:val="0"/>
        <w:adjustRightInd w:val="0"/>
        <w:rPr>
          <w:lang w:val="en-GB"/>
        </w:rPr>
      </w:pPr>
      <w:r>
        <w:rPr>
          <w:lang w:val="en-GB"/>
        </w:rPr>
        <w:t xml:space="preserve">[X] HEPiX bit-preservation Working Group: </w:t>
      </w:r>
      <w:hyperlink r:id="rId44" w:history="1">
        <w:r w:rsidRPr="002F4F07">
          <w:rPr>
            <w:rStyle w:val="Hyperlink"/>
            <w:lang w:val="en-GB"/>
          </w:rPr>
          <w:t>http://w3.hepix.org/bit-preservation/doku.php?id=bit-preservation:documentation</w:t>
        </w:r>
      </w:hyperlink>
    </w:p>
    <w:p w14:paraId="72990FA1" w14:textId="77777777" w:rsidR="00C552E0" w:rsidRDefault="00C552E0" w:rsidP="00C552E0">
      <w:pPr>
        <w:widowControl w:val="0"/>
        <w:autoSpaceDE w:val="0"/>
        <w:autoSpaceDN w:val="0"/>
        <w:adjustRightInd w:val="0"/>
        <w:rPr>
          <w:lang w:val="en-GB"/>
        </w:rPr>
      </w:pPr>
      <w:r>
        <w:rPr>
          <w:lang w:val="en-GB"/>
        </w:rPr>
        <w:t xml:space="preserve">[X] Information Storage Industry Consortium (INSIC) roadmap: </w:t>
      </w:r>
      <w:hyperlink r:id="rId45" w:history="1">
        <w:r w:rsidRPr="002F4F07">
          <w:rPr>
            <w:rStyle w:val="Hyperlink"/>
            <w:lang w:val="en-GB"/>
          </w:rPr>
          <w:t>http://www.insic.org/news/2015%20roadmap/15_25roadmap.html</w:t>
        </w:r>
      </w:hyperlink>
    </w:p>
    <w:p w14:paraId="74F986BA" w14:textId="77777777" w:rsidR="00C552E0" w:rsidRDefault="00C552E0" w:rsidP="00C552E0">
      <w:pPr>
        <w:widowControl w:val="0"/>
        <w:autoSpaceDE w:val="0"/>
        <w:autoSpaceDN w:val="0"/>
        <w:adjustRightInd w:val="0"/>
        <w:rPr>
          <w:rStyle w:val="Hyperlink"/>
          <w:lang w:val="en-GB"/>
        </w:rPr>
      </w:pPr>
      <w:r>
        <w:rPr>
          <w:lang w:val="en-GB"/>
        </w:rPr>
        <w:t xml:space="preserve">[X] CERN IT CTO: “Computing Evolution: Technology and Markets”: </w:t>
      </w:r>
      <w:hyperlink r:id="rId46" w:history="1">
        <w:r w:rsidRPr="002F4F07">
          <w:rPr>
            <w:rStyle w:val="Hyperlink"/>
            <w:lang w:val="en-GB"/>
          </w:rPr>
          <w:t>https://indico.cern.ch/event/570249/contributions/2404412/attachments/1400426/2137004/2017-01-23-HSFWorkshop-TechnologyEvolution.pdf</w:t>
        </w:r>
      </w:hyperlink>
    </w:p>
    <w:p w14:paraId="23B2757F" w14:textId="77777777" w:rsidR="00C552E0" w:rsidRDefault="00C552E0" w:rsidP="00C552E0">
      <w:pPr>
        <w:widowControl w:val="0"/>
        <w:autoSpaceDE w:val="0"/>
        <w:autoSpaceDN w:val="0"/>
        <w:adjustRightInd w:val="0"/>
        <w:rPr>
          <w:lang w:val="en-GB"/>
        </w:rPr>
      </w:pPr>
      <w:r>
        <w:rPr>
          <w:lang w:val="en-GB"/>
        </w:rPr>
        <w:t xml:space="preserve">[X] CHEP 2015: “Integrating New Storage Technologies into EOS”: </w:t>
      </w:r>
      <w:hyperlink r:id="rId47" w:history="1">
        <w:r w:rsidRPr="008343AA">
          <w:rPr>
            <w:rStyle w:val="Hyperlink"/>
            <w:lang w:val="en-GB"/>
          </w:rPr>
          <w:t>http://iopscience.iop.org/article/10.1088/1742-6596/664/4/042043/pdf</w:t>
        </w:r>
      </w:hyperlink>
    </w:p>
    <w:p w14:paraId="60C2146B" w14:textId="77777777" w:rsidR="00C552E0" w:rsidRPr="00C552E0" w:rsidRDefault="00C552E0" w:rsidP="00C552E0"/>
    <w:p w14:paraId="0FAF7308" w14:textId="77777777" w:rsidR="004E4510" w:rsidRDefault="004E4510" w:rsidP="004E4510">
      <w:pPr>
        <w:pStyle w:val="Heading5"/>
      </w:pPr>
      <w:r>
        <w:t>5.1.1.1.5 - The repository shall have software technologies appropriate to the services it provides to its designated communities.</w:t>
      </w:r>
    </w:p>
    <w:p w14:paraId="58DCB7F2" w14:textId="77777777" w:rsidR="004E4510" w:rsidRDefault="004E4510" w:rsidP="004E4510">
      <w:pPr>
        <w:pStyle w:val="Heading5"/>
      </w:pPr>
      <w:r>
        <w:t>5.1.1.1.6 - The repository shall have procedures in place to monitor and receive notifications when software changes are needed.</w:t>
      </w:r>
    </w:p>
    <w:p w14:paraId="2689A80A" w14:textId="77777777" w:rsidR="004E4510" w:rsidRDefault="004E4510" w:rsidP="004E4510">
      <w:pPr>
        <w:pStyle w:val="Heading5"/>
      </w:pPr>
      <w:r>
        <w:t>5.1.1.1.7 - The repository shall have procedures in place to evaluate when changes are needed to current software.</w:t>
      </w:r>
    </w:p>
    <w:p w14:paraId="6520DDA7" w14:textId="4BEB4A8A" w:rsidR="008B0C51" w:rsidRDefault="004E4510" w:rsidP="004E4510">
      <w:pPr>
        <w:pStyle w:val="Heading5"/>
      </w:pPr>
      <w:r>
        <w:t>5.1.1.1.8 - The repository shall have procedures, commitment and funding to replace software when evaluation indicates the need to do so.</w:t>
      </w:r>
    </w:p>
    <w:p w14:paraId="577C76B1" w14:textId="77777777" w:rsidR="00C552E0" w:rsidRDefault="00C552E0" w:rsidP="00C552E0"/>
    <w:p w14:paraId="54CFDFBB" w14:textId="67BFD4AE" w:rsidR="00C552E0" w:rsidRDefault="00C552E0" w:rsidP="00C552E0">
      <w:r>
        <w:t>(5.1.1.1.5-5.1.1.1.8) CERN develops and maintains its own software solutions for gathering, processing and archiving HEP data. CASTOR (CERN Advanced STORage manager, [X]) is CERN’s software specially designed and optimized for physics data archiving. CASTOR is a hierarchical storage management system designed for (but not constrained to) storing HEP user and experiment files. The CASTOR software development started in 1999 and is in full production since 2001. The software is itself an evolution of SHIFT, which was the tape and disk management system developed and used by CERN since the beginning of 1990s. CASTOR manages today over 200 Petabytes of data and around 500 million files; it serves as primary archive for all physics data produced by the LHC experiments (as well as other experiments at CERN). CASTOR is developed, maintained and operated by core CERN staff (around 6 FTE).</w:t>
      </w:r>
    </w:p>
    <w:p w14:paraId="45C6F402" w14:textId="77777777" w:rsidR="00C552E0" w:rsidRDefault="00C552E0" w:rsidP="00C552E0">
      <w:r>
        <w:t>In order to evolve the archiving software to suit LHC run 3’s increased data volume, performance and efficiency needs, a replacement for CASTOR named CTA (CERN Tape Archive) is being developed and tested [X]. CTA is largely based on CASTOR modules and developed within the same team of engineers. CTA will also deliver an optimized interface to EOS [X], CERN’s high-performance disk pool system used for data processing and analysis.</w:t>
      </w:r>
    </w:p>
    <w:p w14:paraId="7C8BB9DA" w14:textId="77777777" w:rsidR="00C552E0" w:rsidRDefault="00C552E0" w:rsidP="00C552E0"/>
    <w:p w14:paraId="1765EB31" w14:textId="77777777" w:rsidR="00C552E0" w:rsidRDefault="00C552E0" w:rsidP="00C552E0">
      <w:r>
        <w:t xml:space="preserve">[X] CASTOR homepage. </w:t>
      </w:r>
      <w:hyperlink r:id="rId48" w:history="1">
        <w:r w:rsidRPr="005C78ED">
          <w:rPr>
            <w:rStyle w:val="Hyperlink"/>
          </w:rPr>
          <w:t>http://cern.ch/castor</w:t>
        </w:r>
      </w:hyperlink>
    </w:p>
    <w:p w14:paraId="3BFC682E" w14:textId="77777777" w:rsidR="00C552E0" w:rsidRPr="00567E93" w:rsidRDefault="00C552E0" w:rsidP="00C552E0">
      <w:pPr>
        <w:rPr>
          <w:lang w:val="it-IT"/>
        </w:rPr>
      </w:pPr>
      <w:r w:rsidRPr="00567E93">
        <w:rPr>
          <w:lang w:val="it-IT"/>
        </w:rPr>
        <w:t xml:space="preserve">[X] CTA CHEP 2016: </w:t>
      </w:r>
      <w:hyperlink r:id="rId49" w:history="1">
        <w:r w:rsidRPr="00567E93">
          <w:rPr>
            <w:rStyle w:val="Hyperlink"/>
            <w:lang w:val="it-IT"/>
          </w:rPr>
          <w:t>https://indico.cern.ch/event/505613/contributions/2230942/</w:t>
        </w:r>
      </w:hyperlink>
    </w:p>
    <w:p w14:paraId="5D357B16" w14:textId="77777777" w:rsidR="00C552E0" w:rsidRPr="00BD7544" w:rsidRDefault="00C552E0" w:rsidP="00C552E0">
      <w:r>
        <w:t xml:space="preserve">[X] EOS homepage: </w:t>
      </w:r>
      <w:hyperlink r:id="rId50" w:history="1">
        <w:r w:rsidRPr="005C78ED">
          <w:rPr>
            <w:rStyle w:val="Hyperlink"/>
          </w:rPr>
          <w:t>http://eos.cern.ch</w:t>
        </w:r>
      </w:hyperlink>
    </w:p>
    <w:p w14:paraId="5CE2416F" w14:textId="77777777" w:rsidR="00C552E0" w:rsidRPr="00C552E0" w:rsidRDefault="00C552E0" w:rsidP="00C552E0"/>
    <w:p w14:paraId="244A0FB4" w14:textId="74C91459" w:rsidR="008B0C51" w:rsidRDefault="008B0C51" w:rsidP="007E6CAE">
      <w:pPr>
        <w:pStyle w:val="Heading4"/>
      </w:pPr>
      <w:r>
        <w:lastRenderedPageBreak/>
        <w:t>5.1.1.2 - The repository shall have adequate hardware and software support for backup functionality sufficient for preserving the repository content and tracking repository functions.</w:t>
      </w:r>
    </w:p>
    <w:p w14:paraId="454F014F" w14:textId="77777777" w:rsidR="00C552E0" w:rsidRDefault="00C552E0" w:rsidP="00C552E0"/>
    <w:p w14:paraId="73ADF0AA" w14:textId="77777777" w:rsidR="00C552E0" w:rsidRDefault="00C552E0" w:rsidP="00C552E0">
      <w:pPr>
        <w:widowControl w:val="0"/>
        <w:autoSpaceDE w:val="0"/>
        <w:autoSpaceDN w:val="0"/>
        <w:adjustRightInd w:val="0"/>
        <w:rPr>
          <w:rFonts w:cs="Arial"/>
          <w:szCs w:val="20"/>
          <w:lang w:val="en-GB"/>
        </w:rPr>
      </w:pPr>
      <w:r w:rsidRPr="00C552E0">
        <w:rPr>
          <w:rFonts w:cs="Arial"/>
          <w:szCs w:val="20"/>
          <w:lang w:val="en-GB"/>
        </w:rPr>
        <w:t xml:space="preserve">The computing model adopted by the LHC experiments within the context of WLCG is such that all data collected by the experiments is persistently stored at CERN’s Tier-0, and a copy is replicated and persistently stored across a number of collaborating Tier-1 sites. </w:t>
      </w:r>
      <w:r w:rsidRPr="00C552E0">
        <w:t xml:space="preserve">LHC data are exported (by the experiments) to LCG Tier1 sites and in case of disaster they can be reimported from there. </w:t>
      </w:r>
      <w:r w:rsidRPr="00C552E0">
        <w:rPr>
          <w:rFonts w:cs="Arial"/>
          <w:szCs w:val="20"/>
          <w:lang w:val="en-GB"/>
        </w:rPr>
        <w:t>This model allows for data redundancy and therefore higher reliability as experiments can recover data from a different site in case of data loss. Each site is responsible to fulfil the resources and service levels that are agreed in the form of a MoU [X].</w:t>
      </w:r>
    </w:p>
    <w:p w14:paraId="72F6A550" w14:textId="77777777" w:rsidR="00C552E0" w:rsidRDefault="00C552E0" w:rsidP="00C552E0"/>
    <w:p w14:paraId="7B30DC21" w14:textId="77777777" w:rsidR="00C552E0" w:rsidRPr="0084679D" w:rsidRDefault="00C552E0" w:rsidP="00C552E0">
      <w:pPr>
        <w:rPr>
          <w:rFonts w:ascii="Cambria" w:hAnsi="Cambria" w:cs="Arial"/>
          <w:szCs w:val="20"/>
          <w:lang w:val="en-GB"/>
        </w:rPr>
      </w:pPr>
      <w:r w:rsidRPr="00915705">
        <w:rPr>
          <w:rFonts w:cs="Arial"/>
          <w:szCs w:val="20"/>
          <w:lang w:val="en-GB"/>
        </w:rPr>
        <w:t xml:space="preserve">By default, a single copy of a file written to the CERN </w:t>
      </w:r>
      <w:r>
        <w:rPr>
          <w:rFonts w:cs="Arial"/>
          <w:szCs w:val="20"/>
          <w:lang w:val="en-GB"/>
        </w:rPr>
        <w:t>archive is stored on tape media</w:t>
      </w:r>
      <w:r w:rsidRPr="00915705">
        <w:rPr>
          <w:rFonts w:cs="Arial"/>
          <w:szCs w:val="20"/>
          <w:lang w:val="en-GB"/>
        </w:rPr>
        <w:t>. For critical data sets that requir</w:t>
      </w:r>
      <w:r>
        <w:rPr>
          <w:rFonts w:cs="Arial"/>
          <w:szCs w:val="20"/>
          <w:lang w:val="en-GB"/>
        </w:rPr>
        <w:t xml:space="preserve">e particularly high reliability, </w:t>
      </w:r>
      <w:r w:rsidRPr="0084679D">
        <w:rPr>
          <w:rFonts w:ascii="Cambria" w:hAnsi="Cambria" w:cs="Arial"/>
          <w:szCs w:val="20"/>
          <w:lang w:val="en-GB"/>
        </w:rPr>
        <w:t>second</w:t>
      </w:r>
      <w:r>
        <w:rPr>
          <w:rFonts w:ascii="Cambria" w:hAnsi="Cambria" w:cs="Arial"/>
          <w:szCs w:val="20"/>
          <w:lang w:val="en-GB"/>
        </w:rPr>
        <w:t>ary</w:t>
      </w:r>
      <w:r w:rsidRPr="0084679D">
        <w:rPr>
          <w:rFonts w:ascii="Cambria" w:hAnsi="Cambria" w:cs="Arial"/>
          <w:szCs w:val="20"/>
          <w:lang w:val="en-GB"/>
        </w:rPr>
        <w:t xml:space="preserve"> copies </w:t>
      </w:r>
      <w:r>
        <w:rPr>
          <w:rFonts w:ascii="Cambria" w:hAnsi="Cambria" w:cs="Arial"/>
          <w:szCs w:val="20"/>
          <w:lang w:val="en-GB"/>
        </w:rPr>
        <w:t xml:space="preserve">can be generated </w:t>
      </w:r>
      <w:r w:rsidRPr="0084679D">
        <w:rPr>
          <w:rFonts w:ascii="Cambria" w:hAnsi="Cambria" w:cs="Arial"/>
          <w:szCs w:val="20"/>
          <w:lang w:val="en-GB"/>
        </w:rPr>
        <w:t xml:space="preserve">in the CERN archive. </w:t>
      </w:r>
      <w:r w:rsidRPr="00915705">
        <w:rPr>
          <w:rFonts w:cs="Arial"/>
          <w:szCs w:val="20"/>
          <w:lang w:val="en-GB"/>
        </w:rPr>
        <w:t>These second data copies are stored in a separate library residing in a different building</w:t>
      </w:r>
      <w:r>
        <w:rPr>
          <w:rFonts w:cs="Arial"/>
          <w:szCs w:val="20"/>
          <w:lang w:val="en-GB"/>
        </w:rPr>
        <w:t>.</w:t>
      </w:r>
    </w:p>
    <w:p w14:paraId="1C79D7C0" w14:textId="77777777" w:rsidR="00C552E0" w:rsidRPr="0084679D" w:rsidRDefault="00C552E0" w:rsidP="00C552E0">
      <w:pPr>
        <w:rPr>
          <w:rFonts w:ascii="Cambria" w:hAnsi="Cambria"/>
        </w:rPr>
      </w:pPr>
    </w:p>
    <w:p w14:paraId="09569AAC" w14:textId="77777777" w:rsidR="00C552E0" w:rsidRDefault="00C552E0" w:rsidP="00C552E0">
      <w:pPr>
        <w:pStyle w:val="NormalWeb"/>
        <w:spacing w:before="0" w:beforeAutospacing="0" w:after="0" w:afterAutospacing="0"/>
        <w:textAlignment w:val="baseline"/>
        <w:rPr>
          <w:rFonts w:ascii="Cambria" w:hAnsi="Cambria"/>
        </w:rPr>
      </w:pPr>
      <w:r>
        <w:rPr>
          <w:rFonts w:ascii="Cambria" w:hAnsi="Cambria"/>
        </w:rPr>
        <w:t xml:space="preserve">For safeguarding metadata, </w:t>
      </w:r>
      <w:r w:rsidRPr="0084679D">
        <w:rPr>
          <w:rFonts w:ascii="Cambria" w:hAnsi="Cambria"/>
        </w:rPr>
        <w:t xml:space="preserve">IT department provides a centralized service to backup server machines containing critical data in the computer centre [X]. The IBM </w:t>
      </w:r>
      <w:r>
        <w:rPr>
          <w:rFonts w:ascii="Cambria" w:hAnsi="Cambria"/>
        </w:rPr>
        <w:t>Spectrum Scale</w:t>
      </w:r>
      <w:r w:rsidRPr="0084679D">
        <w:rPr>
          <w:rFonts w:ascii="Cambria" w:hAnsi="Cambria"/>
        </w:rPr>
        <w:t xml:space="preserve"> product (</w:t>
      </w:r>
      <w:r>
        <w:rPr>
          <w:rFonts w:ascii="Cambria" w:hAnsi="Cambria"/>
        </w:rPr>
        <w:t xml:space="preserve">previously named </w:t>
      </w:r>
      <w:r w:rsidRPr="0084679D">
        <w:rPr>
          <w:rFonts w:ascii="Cambria" w:hAnsi="Cambria"/>
        </w:rPr>
        <w:t xml:space="preserve">TSM) is currently used to provide this function. All repository servers holding critical metadata are backed up </w:t>
      </w:r>
      <w:r>
        <w:rPr>
          <w:rFonts w:ascii="Cambria" w:hAnsi="Cambria"/>
        </w:rPr>
        <w:t xml:space="preserve">daily </w:t>
      </w:r>
      <w:r w:rsidRPr="0084679D">
        <w:rPr>
          <w:rFonts w:ascii="Cambria" w:hAnsi="Cambria"/>
        </w:rPr>
        <w:t>using this service.</w:t>
      </w:r>
    </w:p>
    <w:p w14:paraId="5A787B9E" w14:textId="77777777" w:rsidR="00C552E0" w:rsidRDefault="00C552E0" w:rsidP="00C552E0"/>
    <w:p w14:paraId="5B2B5302" w14:textId="77777777" w:rsidR="00C552E0" w:rsidRDefault="00C552E0" w:rsidP="00C552E0">
      <w:r>
        <w:t>In addition, the complete logs of all CASTOR operations are stored hey for audit and disaster recovery. Logs are typically available for 200 days on the service nodes and all of them are sent in parallel to a Hadoop-based cluster.</w:t>
      </w:r>
    </w:p>
    <w:p w14:paraId="281C622C" w14:textId="77777777" w:rsidR="00C552E0" w:rsidRDefault="00C552E0" w:rsidP="00C552E0"/>
    <w:p w14:paraId="63EF01C8" w14:textId="77777777" w:rsidR="00C552E0" w:rsidRDefault="00C552E0" w:rsidP="00C552E0">
      <w:r>
        <w:t xml:space="preserve">All of CASTOR’s software files and configuration data are stored on redundant servers and git repositories. </w:t>
      </w:r>
    </w:p>
    <w:p w14:paraId="632440A7" w14:textId="77777777" w:rsidR="00C552E0" w:rsidRDefault="00C552E0" w:rsidP="00C552E0"/>
    <w:p w14:paraId="00D12F32" w14:textId="77777777" w:rsidR="00C552E0" w:rsidRDefault="00C552E0" w:rsidP="00C552E0">
      <w:pPr>
        <w:rPr>
          <w:rFonts w:cs="Arial"/>
          <w:szCs w:val="20"/>
          <w:lang w:val="en-GB"/>
        </w:rPr>
      </w:pPr>
      <w:r>
        <w:rPr>
          <w:rFonts w:cs="Arial"/>
          <w:szCs w:val="20"/>
          <w:lang w:val="en-GB"/>
        </w:rPr>
        <w:t xml:space="preserve">[X] WLCG Memorandum of Understanding: </w:t>
      </w:r>
      <w:r w:rsidRPr="00AA44AE">
        <w:rPr>
          <w:rFonts w:cs="Arial"/>
          <w:szCs w:val="20"/>
          <w:lang w:val="en-GB"/>
        </w:rPr>
        <w:t xml:space="preserve">http://wlcg.web.cern.ch/collaboration/mou </w:t>
      </w:r>
    </w:p>
    <w:p w14:paraId="1C292B5B" w14:textId="0E91BD90" w:rsidR="00C552E0" w:rsidRPr="00CB43FB" w:rsidRDefault="00C552E0" w:rsidP="00CB43FB">
      <w:pPr>
        <w:widowControl w:val="0"/>
        <w:autoSpaceDE w:val="0"/>
        <w:autoSpaceDN w:val="0"/>
        <w:adjustRightInd w:val="0"/>
        <w:rPr>
          <w:rFonts w:cs="Arial"/>
          <w:iCs/>
          <w:szCs w:val="20"/>
          <w:lang w:val="en-GB"/>
        </w:rPr>
      </w:pPr>
      <w:r>
        <w:rPr>
          <w:rFonts w:cs="Arial"/>
          <w:iCs/>
          <w:szCs w:val="20"/>
          <w:lang w:val="en-GB"/>
        </w:rPr>
        <w:t xml:space="preserve">[X] Backup Service at CERN: </w:t>
      </w:r>
      <w:hyperlink r:id="rId51" w:history="1">
        <w:r w:rsidRPr="002F4F07">
          <w:rPr>
            <w:rStyle w:val="Hyperlink"/>
            <w:rFonts w:cs="Arial"/>
            <w:iCs/>
            <w:szCs w:val="20"/>
            <w:lang w:val="en-GB"/>
          </w:rPr>
          <w:t>http://cern.ch/service-backup</w:t>
        </w:r>
      </w:hyperlink>
    </w:p>
    <w:p w14:paraId="48492616" w14:textId="77777777" w:rsidR="008B0C51" w:rsidRDefault="008B0C51" w:rsidP="007E6CAE">
      <w:pPr>
        <w:pStyle w:val="Heading4"/>
      </w:pPr>
      <w:r>
        <w:t>5.1.1.3 - The repository shall have effective mechanisms to detect bit corruption or loss.</w:t>
      </w:r>
    </w:p>
    <w:p w14:paraId="507E58DC" w14:textId="77777777" w:rsidR="00E1356D" w:rsidRDefault="00E1356D" w:rsidP="00E1356D"/>
    <w:p w14:paraId="3A4CFC4C" w14:textId="77777777" w:rsidR="00E1356D" w:rsidRPr="00C552E0" w:rsidRDefault="00E1356D" w:rsidP="00E1356D">
      <w:pPr>
        <w:widowControl w:val="0"/>
        <w:autoSpaceDE w:val="0"/>
        <w:autoSpaceDN w:val="0"/>
        <w:adjustRightInd w:val="0"/>
        <w:rPr>
          <w:rFonts w:cs="Arial"/>
          <w:szCs w:val="20"/>
          <w:lang w:val="en-GB"/>
        </w:rPr>
      </w:pPr>
      <w:r w:rsidRPr="00C552E0">
        <w:rPr>
          <w:rFonts w:cs="Arial"/>
          <w:szCs w:val="20"/>
          <w:lang w:val="en-GB"/>
        </w:rPr>
        <w:t>Protection of Metadata: All of CASTOR’s metadata is stored in Oracle databases operated by a dedicated team of database experts ([X]). All these databases have been setup with redundancy and recoverability in mind. Databases are backed up using a comprehensive, multi-level backup infrastructure following a well-established policy [X].</w:t>
      </w:r>
    </w:p>
    <w:p w14:paraId="3677D523" w14:textId="77777777" w:rsidR="00E1356D" w:rsidRPr="00C552E0" w:rsidRDefault="00E1356D" w:rsidP="00E1356D">
      <w:pPr>
        <w:widowControl w:val="0"/>
        <w:autoSpaceDE w:val="0"/>
        <w:autoSpaceDN w:val="0"/>
        <w:adjustRightInd w:val="0"/>
        <w:rPr>
          <w:rFonts w:cs="Arial"/>
          <w:szCs w:val="20"/>
          <w:lang w:val="en-GB"/>
        </w:rPr>
      </w:pPr>
    </w:p>
    <w:p w14:paraId="2E387E47" w14:textId="0546971D" w:rsidR="00E1356D" w:rsidRPr="00C552E0" w:rsidRDefault="00C552E0" w:rsidP="00E1356D">
      <w:pPr>
        <w:widowControl w:val="0"/>
        <w:autoSpaceDE w:val="0"/>
        <w:autoSpaceDN w:val="0"/>
        <w:adjustRightInd w:val="0"/>
        <w:rPr>
          <w:rFonts w:cs="Arial"/>
          <w:szCs w:val="20"/>
          <w:lang w:val="en-GB"/>
        </w:rPr>
      </w:pPr>
      <w:r>
        <w:rPr>
          <w:rFonts w:cs="Arial"/>
          <w:szCs w:val="20"/>
          <w:lang w:val="en-GB"/>
        </w:rPr>
        <w:t xml:space="preserve">Protection of Data: </w:t>
      </w:r>
      <w:r w:rsidR="00E1356D" w:rsidRPr="00C552E0">
        <w:rPr>
          <w:rFonts w:cs="Arial"/>
          <w:szCs w:val="20"/>
          <w:lang w:val="en-GB"/>
        </w:rPr>
        <w:t xml:space="preserve">Detected data integrity issues are immediately handled as described in 3.3.5. In order to do a comprehensive check of the CERN archive contents, given that only around 20% of the data written to tape is ever read back by the users, a media verification process has been defined that regularly and proactively checks the integrity of all data in the archive, independently of </w:t>
      </w:r>
      <w:r w:rsidR="00E1356D" w:rsidRPr="00C552E0">
        <w:rPr>
          <w:rFonts w:cs="Arial"/>
          <w:szCs w:val="20"/>
          <w:lang w:val="en-GB"/>
        </w:rPr>
        <w:lastRenderedPageBreak/>
        <w:t>user access. This process ensures that media cartridges can be mounted, and that the contained data can be read back and validated against metadata (such as checksums and file sizes). The process uses all the integrity checks described in 3.3.5.</w:t>
      </w:r>
    </w:p>
    <w:p w14:paraId="4851261C" w14:textId="77777777" w:rsidR="00E1356D" w:rsidRPr="00C552E0" w:rsidRDefault="00E1356D" w:rsidP="00E1356D">
      <w:pPr>
        <w:widowControl w:val="0"/>
        <w:autoSpaceDE w:val="0"/>
        <w:autoSpaceDN w:val="0"/>
        <w:adjustRightInd w:val="0"/>
        <w:rPr>
          <w:rFonts w:cs="Arial"/>
          <w:lang w:val="en-GB"/>
        </w:rPr>
      </w:pPr>
      <w:r w:rsidRPr="00C552E0">
        <w:rPr>
          <w:rFonts w:cs="Arial"/>
          <w:szCs w:val="20"/>
          <w:lang w:val="en-GB"/>
        </w:rPr>
        <w:t xml:space="preserve">Tapes will typically be verified on a different drive than the one used for writing. Operators will be notified following standardized tape alert procedures (cf. 3.3.5) if drive or media </w:t>
      </w:r>
      <w:r w:rsidRPr="00C552E0">
        <w:rPr>
          <w:rFonts w:cs="Arial"/>
          <w:lang w:val="en-GB"/>
        </w:rPr>
        <w:t>warnings, inconsistencies or hard errors are detected.</w:t>
      </w:r>
    </w:p>
    <w:p w14:paraId="6C2FE27A" w14:textId="77777777" w:rsidR="00E1356D" w:rsidRPr="00C552E0" w:rsidRDefault="00E1356D" w:rsidP="00E1356D">
      <w:pPr>
        <w:rPr>
          <w:rFonts w:cs="Arial"/>
          <w:lang w:val="en-GB"/>
        </w:rPr>
      </w:pPr>
      <w:r w:rsidRPr="00C552E0">
        <w:rPr>
          <w:rFonts w:cs="Arial"/>
          <w:lang w:val="en-GB"/>
        </w:rPr>
        <w:t xml:space="preserve">Two verification modes exist, a “full” mode checking the complete tape data, and a fast “light” mode that concentrates on a data subset. </w:t>
      </w:r>
    </w:p>
    <w:p w14:paraId="04104827" w14:textId="77777777" w:rsidR="00E1356D" w:rsidRPr="00C552E0" w:rsidRDefault="00E1356D" w:rsidP="00E1356D">
      <w:pPr>
        <w:rPr>
          <w:rFonts w:cs="Arial"/>
          <w:lang w:val="en-GB"/>
        </w:rPr>
      </w:pPr>
      <w:r w:rsidRPr="00C552E0">
        <w:rPr>
          <w:rFonts w:cs="Arial"/>
          <w:lang w:val="en-GB"/>
        </w:rPr>
        <w:t>A “full” tape verification is triggered in the following cases:</w:t>
      </w:r>
    </w:p>
    <w:p w14:paraId="7FACADF2" w14:textId="77777777" w:rsidR="00E1356D" w:rsidRPr="00C552E0" w:rsidRDefault="00E1356D" w:rsidP="00E1356D">
      <w:pPr>
        <w:pStyle w:val="ListParagraph"/>
        <w:numPr>
          <w:ilvl w:val="0"/>
          <w:numId w:val="1"/>
        </w:numPr>
        <w:rPr>
          <w:rFonts w:asciiTheme="minorHAnsi" w:hAnsiTheme="minorHAnsi" w:cs="Arial"/>
          <w:lang w:val="en-GB"/>
        </w:rPr>
      </w:pPr>
      <w:r w:rsidRPr="00C552E0">
        <w:rPr>
          <w:rFonts w:asciiTheme="minorHAnsi" w:hAnsiTheme="minorHAnsi" w:cs="Arial"/>
          <w:lang w:val="en-GB"/>
        </w:rPr>
        <w:t>once a tape is completely filled with data, and</w:t>
      </w:r>
    </w:p>
    <w:p w14:paraId="1E9A1C72" w14:textId="77777777" w:rsidR="00E1356D" w:rsidRPr="00C552E0" w:rsidRDefault="00E1356D" w:rsidP="00E1356D">
      <w:pPr>
        <w:pStyle w:val="ListParagraph"/>
        <w:numPr>
          <w:ilvl w:val="0"/>
          <w:numId w:val="1"/>
        </w:numPr>
        <w:rPr>
          <w:rFonts w:asciiTheme="minorHAnsi" w:hAnsiTheme="minorHAnsi" w:cs="Arial"/>
          <w:lang w:val="en-GB"/>
        </w:rPr>
      </w:pPr>
      <w:r w:rsidRPr="00C552E0">
        <w:rPr>
          <w:rFonts w:asciiTheme="minorHAnsi" w:hAnsiTheme="minorHAnsi" w:cs="Arial"/>
          <w:lang w:val="en-GB"/>
        </w:rPr>
        <w:t>whenever a tape hasn’t been mounted for a long period of time, therefore ensuring the correctness of older (or “colder”) repository data.</w:t>
      </w:r>
    </w:p>
    <w:p w14:paraId="1941FAE3" w14:textId="77777777" w:rsidR="00E1356D" w:rsidRPr="00C552E0" w:rsidRDefault="00E1356D" w:rsidP="00E1356D">
      <w:pPr>
        <w:widowControl w:val="0"/>
        <w:autoSpaceDE w:val="0"/>
        <w:autoSpaceDN w:val="0"/>
        <w:adjustRightInd w:val="0"/>
        <w:rPr>
          <w:rFonts w:cs="Arial"/>
          <w:iCs/>
          <w:szCs w:val="20"/>
          <w:lang w:val="en-GB"/>
        </w:rPr>
      </w:pPr>
      <w:r w:rsidRPr="00C552E0">
        <w:rPr>
          <w:rFonts w:cs="Arial"/>
          <w:szCs w:val="20"/>
          <w:lang w:val="en-GB"/>
        </w:rPr>
        <w:t>The “light” verification typically completes in 2-3 minutes as it concentrates on the most critical tape areas, by reading out the first and last ten files and another ten random files picked across the complete tape. This verification mode kicks in immediately after a tape has been written to, or if a tape hasn't been scanned for 60 days or more.</w:t>
      </w:r>
    </w:p>
    <w:p w14:paraId="13429628" w14:textId="77777777" w:rsidR="00E1356D" w:rsidRDefault="00E1356D" w:rsidP="00E1356D">
      <w:pPr>
        <w:rPr>
          <w:rFonts w:cs="Arial"/>
          <w:szCs w:val="20"/>
          <w:lang w:val="en-GB"/>
        </w:rPr>
      </w:pPr>
      <w:r w:rsidRPr="00C552E0">
        <w:rPr>
          <w:rFonts w:cs="Arial"/>
          <w:szCs w:val="20"/>
          <w:lang w:val="en-GB"/>
        </w:rPr>
        <w:t>The verification system is documented under [X]. Operator procedures are found under [X].</w:t>
      </w:r>
    </w:p>
    <w:p w14:paraId="7C873F24" w14:textId="77777777" w:rsidR="00E1356D" w:rsidRDefault="00E1356D" w:rsidP="00E1356D">
      <w:pPr>
        <w:rPr>
          <w:rFonts w:cs="Arial"/>
          <w:szCs w:val="20"/>
          <w:lang w:val="en-GB"/>
        </w:rPr>
      </w:pPr>
    </w:p>
    <w:p w14:paraId="6B8E3446" w14:textId="77777777" w:rsidR="00E1356D" w:rsidRDefault="00E1356D" w:rsidP="00E1356D">
      <w:pPr>
        <w:rPr>
          <w:rFonts w:cs="Arial"/>
          <w:szCs w:val="20"/>
          <w:lang w:val="en-GB"/>
        </w:rPr>
      </w:pPr>
      <w:r>
        <w:rPr>
          <w:rFonts w:cs="Arial"/>
          <w:szCs w:val="20"/>
          <w:lang w:val="en-GB"/>
        </w:rPr>
        <w:t xml:space="preserve">[X] WLCG Memorandum of Understanding: </w:t>
      </w:r>
      <w:r w:rsidRPr="00AA44AE">
        <w:rPr>
          <w:rFonts w:cs="Arial"/>
          <w:szCs w:val="20"/>
          <w:lang w:val="en-GB"/>
        </w:rPr>
        <w:t xml:space="preserve">http://wlcg.web.cern.ch/collaboration/mou </w:t>
      </w:r>
    </w:p>
    <w:p w14:paraId="4978465C" w14:textId="77777777" w:rsidR="00E1356D" w:rsidRDefault="00E1356D" w:rsidP="00E1356D">
      <w:pPr>
        <w:widowControl w:val="0"/>
        <w:autoSpaceDE w:val="0"/>
        <w:autoSpaceDN w:val="0"/>
        <w:adjustRightInd w:val="0"/>
        <w:rPr>
          <w:rFonts w:cs="Arial"/>
          <w:iCs/>
          <w:szCs w:val="20"/>
          <w:lang w:val="en-GB"/>
        </w:rPr>
      </w:pPr>
      <w:r>
        <w:rPr>
          <w:rFonts w:cs="Arial"/>
          <w:iCs/>
          <w:szCs w:val="20"/>
          <w:lang w:val="en-GB"/>
        </w:rPr>
        <w:t xml:space="preserve">[X] Backup Service at CERN: </w:t>
      </w:r>
      <w:hyperlink r:id="rId52" w:history="1">
        <w:r w:rsidRPr="002F4F07">
          <w:rPr>
            <w:rStyle w:val="Hyperlink"/>
            <w:rFonts w:cs="Arial"/>
            <w:iCs/>
            <w:szCs w:val="20"/>
            <w:lang w:val="en-GB"/>
          </w:rPr>
          <w:t>http://cern.ch/service-backup</w:t>
        </w:r>
      </w:hyperlink>
    </w:p>
    <w:p w14:paraId="263004AD" w14:textId="77777777" w:rsidR="00E1356D" w:rsidRDefault="00E1356D" w:rsidP="00E1356D">
      <w:pPr>
        <w:rPr>
          <w:rFonts w:cs="Arial"/>
          <w:iCs/>
          <w:szCs w:val="20"/>
          <w:lang w:val="en-GB"/>
        </w:rPr>
      </w:pPr>
      <w:r>
        <w:rPr>
          <w:rFonts w:cs="Arial"/>
          <w:iCs/>
          <w:szCs w:val="20"/>
          <w:lang w:val="en-GB"/>
        </w:rPr>
        <w:t xml:space="preserve">[X] Oracle Database Backup and Recovery Policy: </w:t>
      </w:r>
      <w:hyperlink r:id="rId53" w:history="1">
        <w:r w:rsidRPr="002F4F07">
          <w:rPr>
            <w:rStyle w:val="Hyperlink"/>
            <w:rFonts w:cs="Arial"/>
            <w:iCs/>
            <w:szCs w:val="20"/>
            <w:lang w:val="en-GB"/>
          </w:rPr>
          <w:t>https://edms.cern.ch/ui/file/1450735/1/IT-DB_backup_rules.pdf</w:t>
        </w:r>
      </w:hyperlink>
    </w:p>
    <w:p w14:paraId="1B301EBE" w14:textId="77777777" w:rsidR="00E1356D" w:rsidRDefault="00E1356D" w:rsidP="00E1356D">
      <w:pPr>
        <w:rPr>
          <w:rFonts w:cs="Arial"/>
          <w:szCs w:val="20"/>
          <w:lang w:val="en-GB"/>
        </w:rPr>
      </w:pPr>
      <w:r>
        <w:rPr>
          <w:rFonts w:cs="Arial"/>
          <w:szCs w:val="20"/>
          <w:lang w:val="en-GB"/>
        </w:rPr>
        <w:t xml:space="preserve">[X] tape verification system: </w:t>
      </w:r>
      <w:hyperlink r:id="rId54" w:history="1">
        <w:r w:rsidRPr="002F4F07">
          <w:rPr>
            <w:rStyle w:val="Hyperlink"/>
            <w:rFonts w:cs="Arial"/>
            <w:szCs w:val="20"/>
            <w:lang w:val="en-GB"/>
          </w:rPr>
          <w:t>https://twiki.cern.ch/twiki/bin/view/TapeOperations/TapeVerification</w:t>
        </w:r>
      </w:hyperlink>
    </w:p>
    <w:p w14:paraId="201813DA" w14:textId="77777777" w:rsidR="00E1356D" w:rsidRDefault="00E1356D" w:rsidP="00E1356D">
      <w:pPr>
        <w:rPr>
          <w:rFonts w:cs="Arial"/>
          <w:szCs w:val="20"/>
          <w:lang w:val="en-GB"/>
        </w:rPr>
      </w:pPr>
      <w:r>
        <w:rPr>
          <w:rFonts w:cs="Arial"/>
          <w:szCs w:val="20"/>
          <w:lang w:val="en-GB"/>
        </w:rPr>
        <w:t>[X] tape verification operator procedures:</w:t>
      </w:r>
    </w:p>
    <w:p w14:paraId="1A23C6C4" w14:textId="0821F570" w:rsidR="00E1356D" w:rsidRPr="00CB43FB" w:rsidRDefault="00F17642" w:rsidP="00E1356D">
      <w:pPr>
        <w:rPr>
          <w:rFonts w:cs="Arial"/>
          <w:szCs w:val="20"/>
          <w:lang w:val="en-GB"/>
        </w:rPr>
      </w:pPr>
      <w:hyperlink r:id="rId55" w:history="1">
        <w:r w:rsidR="00E1356D" w:rsidRPr="002F4F07">
          <w:rPr>
            <w:rStyle w:val="Hyperlink"/>
            <w:rFonts w:cs="Arial"/>
            <w:szCs w:val="20"/>
            <w:lang w:val="en-GB"/>
          </w:rPr>
          <w:t>https://twiki.cern.ch/twiki/bin/view/TapeOperations/TapeVerifyProblemMedia</w:t>
        </w:r>
      </w:hyperlink>
    </w:p>
    <w:p w14:paraId="1E384BC5" w14:textId="611E9224" w:rsidR="008B0C51" w:rsidRDefault="007E6CAE" w:rsidP="007E6CAE">
      <w:pPr>
        <w:pStyle w:val="Heading5"/>
      </w:pPr>
      <w:r w:rsidRPr="007E6CAE">
        <w:t>5.1.1.3.1 - The repository shall record and report to its administration all incidents of data corruption or loss, and steps shall be taken to repair/replace corrupt or lost data.</w:t>
      </w:r>
    </w:p>
    <w:p w14:paraId="1AB3A0E4" w14:textId="77777777" w:rsidR="00E1356D" w:rsidRDefault="00E1356D" w:rsidP="00E1356D"/>
    <w:p w14:paraId="68D0933E" w14:textId="77777777" w:rsidR="00E1356D" w:rsidRPr="00C552E0" w:rsidRDefault="00E1356D" w:rsidP="00E1356D">
      <w:pPr>
        <w:widowControl w:val="0"/>
        <w:autoSpaceDE w:val="0"/>
        <w:autoSpaceDN w:val="0"/>
        <w:adjustRightInd w:val="0"/>
        <w:rPr>
          <w:rFonts w:cs="Times"/>
        </w:rPr>
      </w:pPr>
      <w:r w:rsidRPr="00C552E0">
        <w:rPr>
          <w:rFonts w:cs="Times"/>
        </w:rPr>
        <w:t>All tape errors and alerts are registered in the CERN tape monitoring system (see 3.3.5); statistical and detailed information on cartridge, drive and media type reliability is generated and made available to service operators and management.</w:t>
      </w:r>
    </w:p>
    <w:p w14:paraId="24AD91A9" w14:textId="77777777" w:rsidR="00E1356D" w:rsidRPr="00C552E0" w:rsidRDefault="00E1356D" w:rsidP="00E1356D">
      <w:pPr>
        <w:widowControl w:val="0"/>
        <w:autoSpaceDE w:val="0"/>
        <w:autoSpaceDN w:val="0"/>
        <w:adjustRightInd w:val="0"/>
        <w:rPr>
          <w:rFonts w:cs="Times"/>
        </w:rPr>
      </w:pPr>
      <w:r w:rsidRPr="00C552E0">
        <w:rPr>
          <w:rFonts w:cs="Times"/>
        </w:rPr>
        <w:t>This information is also shared as appropriate with the respective technology vendors and used as input for technology replacement, upgrade and purchase decisions. Based on this information, CERN has repeatedly agreed with vendors on large-scale replacements of tape drives or media cartridges identified as problematic.</w:t>
      </w:r>
    </w:p>
    <w:p w14:paraId="31B9B598" w14:textId="77777777" w:rsidR="00E1356D" w:rsidRPr="00C552E0" w:rsidRDefault="00E1356D" w:rsidP="00E1356D">
      <w:pPr>
        <w:widowControl w:val="0"/>
        <w:autoSpaceDE w:val="0"/>
        <w:autoSpaceDN w:val="0"/>
        <w:adjustRightInd w:val="0"/>
        <w:rPr>
          <w:rFonts w:cs="Times"/>
        </w:rPr>
      </w:pPr>
      <w:r w:rsidRPr="00C552E0">
        <w:rPr>
          <w:rFonts w:cs="Times"/>
        </w:rPr>
        <w:t xml:space="preserve">Over the years, CERN has defined a comprehensive workflow for dealing with media problems [X]. This workflow comprises several repair levels (from local operator to service manager to vendor handling). The workflow comprises steps for keeping users informed about the status of their data and of the recovery </w:t>
      </w:r>
      <w:r w:rsidRPr="00C552E0">
        <w:rPr>
          <w:rFonts w:cs="Times"/>
        </w:rPr>
        <w:lastRenderedPageBreak/>
        <w:t xml:space="preserve">process (which may take hours to weeks). Instead of waiting for recovery, experiments having multiple data copies across sites can decide to erase the faulty files and replicate them from external Tier-1 sites. </w:t>
      </w:r>
    </w:p>
    <w:p w14:paraId="3C7860B6" w14:textId="77777777" w:rsidR="00E1356D" w:rsidRPr="00C552E0" w:rsidRDefault="00E1356D" w:rsidP="00E1356D">
      <w:pPr>
        <w:widowControl w:val="0"/>
        <w:autoSpaceDE w:val="0"/>
        <w:autoSpaceDN w:val="0"/>
        <w:adjustRightInd w:val="0"/>
        <w:rPr>
          <w:rFonts w:cs="Times"/>
        </w:rPr>
      </w:pPr>
      <w:r w:rsidRPr="00C552E0">
        <w:rPr>
          <w:rFonts w:cs="Times"/>
        </w:rPr>
        <w:t>Incidents affecting the tape service are in addition communicated to and discussed by management at CERN IT’s weekly service coordination meeting (C5, [X]); information relevant to the LHC user community is brought forward to the weekly WLCG experiment operation meetings [X].</w:t>
      </w:r>
    </w:p>
    <w:p w14:paraId="7122ED72" w14:textId="77777777" w:rsidR="00E1356D" w:rsidRPr="00C552E0" w:rsidRDefault="00E1356D" w:rsidP="00E1356D">
      <w:pPr>
        <w:widowControl w:val="0"/>
        <w:autoSpaceDE w:val="0"/>
        <w:autoSpaceDN w:val="0"/>
        <w:adjustRightInd w:val="0"/>
        <w:rPr>
          <w:rFonts w:cs="Times"/>
        </w:rPr>
      </w:pPr>
      <w:r w:rsidRPr="00C552E0">
        <w:rPr>
          <w:rFonts w:cs="Times"/>
        </w:rPr>
        <w:t>The physical environment in which the CERN tape archive is located is also closely monitored. In fact, today's tape bits are now smaller than most airborne dust particles or even bacteria. Therefore, tape media is now more sensitive to contamination from airborne dust particles. These can scratch the exposed magnetic substrate when mounted in the tape drive resulting in the loss of significant amounts of data. To mitigate this threat, CERN</w:t>
      </w:r>
    </w:p>
    <w:p w14:paraId="63FC2B9E" w14:textId="77777777" w:rsidR="00E1356D" w:rsidRPr="00C552E0" w:rsidRDefault="00E1356D" w:rsidP="00E1356D">
      <w:pPr>
        <w:widowControl w:val="0"/>
        <w:autoSpaceDE w:val="0"/>
        <w:autoSpaceDN w:val="0"/>
        <w:adjustRightInd w:val="0"/>
        <w:rPr>
          <w:rFonts w:cs="Times"/>
        </w:rPr>
      </w:pPr>
      <w:r w:rsidRPr="00C552E0">
        <w:rPr>
          <w:rFonts w:cs="Times"/>
        </w:rPr>
        <w:t xml:space="preserve">has prototyped and built custom environmental sensors [X] hosted in the production tape libraries that sample the same airflow as the surrounding drives. These sensors can measure bursts of tiny particles or the presence of larger particles, along with temperature, humidity and air flow. Whenever a problem is detected, a </w:t>
      </w:r>
      <w:r w:rsidRPr="00C552E0">
        <w:rPr>
          <w:rFonts w:cs="Arial"/>
          <w:szCs w:val="20"/>
          <w:lang w:val="en-GB"/>
        </w:rPr>
        <w:t>ticket is immediately created in the CERN problem management system (SNOW) and assigned to a service operator that will follow a predefined procedure.</w:t>
      </w:r>
    </w:p>
    <w:p w14:paraId="5C223A51" w14:textId="77777777" w:rsidR="00E1356D" w:rsidRPr="00C552E0" w:rsidRDefault="00E1356D" w:rsidP="00E1356D">
      <w:pPr>
        <w:widowControl w:val="0"/>
        <w:autoSpaceDE w:val="0"/>
        <w:autoSpaceDN w:val="0"/>
        <w:adjustRightInd w:val="0"/>
        <w:rPr>
          <w:rFonts w:cs="Times"/>
        </w:rPr>
      </w:pPr>
      <w:r w:rsidRPr="00C552E0">
        <w:rPr>
          <w:rFonts w:cs="Times"/>
        </w:rPr>
        <w:t xml:space="preserve">All deployments of new CASTOR software releases are subject to comprehensive testing and staged deployment using CERN-IT’s standard Agile Infrastructure toolset (based on Puppet). </w:t>
      </w:r>
    </w:p>
    <w:p w14:paraId="2824212D" w14:textId="77777777" w:rsidR="00E1356D" w:rsidRDefault="00E1356D" w:rsidP="00E1356D">
      <w:pPr>
        <w:widowControl w:val="0"/>
        <w:autoSpaceDE w:val="0"/>
        <w:autoSpaceDN w:val="0"/>
        <w:adjustRightInd w:val="0"/>
        <w:rPr>
          <w:rFonts w:cs="Times"/>
        </w:rPr>
      </w:pPr>
      <w:r w:rsidRPr="00C552E0">
        <w:rPr>
          <w:rFonts w:cs="Times"/>
        </w:rPr>
        <w:t>Comprehensive software and/or service reviews involving service representatives, users, and external experts can be triggered as a consequence of significant data loss incidents (example: ALICE data loss incident in 2010 [X]).</w:t>
      </w:r>
    </w:p>
    <w:p w14:paraId="0D197678" w14:textId="77777777" w:rsidR="00E1356D" w:rsidRPr="00A43D7E" w:rsidRDefault="00E1356D" w:rsidP="00E1356D">
      <w:pPr>
        <w:widowControl w:val="0"/>
        <w:autoSpaceDE w:val="0"/>
        <w:autoSpaceDN w:val="0"/>
        <w:adjustRightInd w:val="0"/>
        <w:rPr>
          <w:rFonts w:cs="Times"/>
        </w:rPr>
      </w:pPr>
    </w:p>
    <w:p w14:paraId="24E29923" w14:textId="77777777" w:rsidR="00E1356D" w:rsidRDefault="00E1356D" w:rsidP="00E1356D">
      <w:pPr>
        <w:widowControl w:val="0"/>
        <w:autoSpaceDE w:val="0"/>
        <w:autoSpaceDN w:val="0"/>
        <w:adjustRightInd w:val="0"/>
        <w:rPr>
          <w:rFonts w:cs="Times"/>
        </w:rPr>
      </w:pPr>
      <w:r>
        <w:rPr>
          <w:rFonts w:cs="Times"/>
        </w:rPr>
        <w:t xml:space="preserve">[X] Workflow for dealing with media problems: </w:t>
      </w:r>
      <w:hyperlink r:id="rId56" w:history="1">
        <w:r w:rsidRPr="002F4F07">
          <w:rPr>
            <w:rStyle w:val="Hyperlink"/>
            <w:rFonts w:cs="Times"/>
          </w:rPr>
          <w:t>https://twiki.cern.ch/twiki/bin/view/TapeOperations/ProblematicTapeWorkflow</w:t>
        </w:r>
      </w:hyperlink>
    </w:p>
    <w:p w14:paraId="24198864" w14:textId="77777777" w:rsidR="00E1356D" w:rsidRDefault="00E1356D" w:rsidP="00E1356D">
      <w:pPr>
        <w:widowControl w:val="0"/>
        <w:autoSpaceDE w:val="0"/>
        <w:autoSpaceDN w:val="0"/>
        <w:adjustRightInd w:val="0"/>
        <w:rPr>
          <w:rFonts w:cs="Times"/>
        </w:rPr>
      </w:pPr>
      <w:r>
        <w:rPr>
          <w:rFonts w:cs="Times"/>
        </w:rPr>
        <w:t xml:space="preserve">[X] </w:t>
      </w:r>
      <w:hyperlink r:id="rId57" w:history="1">
        <w:r w:rsidRPr="002F4F07">
          <w:rPr>
            <w:rStyle w:val="Hyperlink"/>
            <w:rFonts w:cs="Times"/>
          </w:rPr>
          <w:t>http://cern.ch/c5</w:t>
        </w:r>
      </w:hyperlink>
    </w:p>
    <w:p w14:paraId="02923268" w14:textId="77777777" w:rsidR="00E1356D" w:rsidRDefault="00E1356D" w:rsidP="00E1356D">
      <w:pPr>
        <w:widowControl w:val="0"/>
        <w:autoSpaceDE w:val="0"/>
        <w:autoSpaceDN w:val="0"/>
        <w:adjustRightInd w:val="0"/>
        <w:rPr>
          <w:rFonts w:cs="Times"/>
        </w:rPr>
      </w:pPr>
      <w:r>
        <w:rPr>
          <w:rFonts w:cs="Times"/>
        </w:rPr>
        <w:t xml:space="preserve">[X] </w:t>
      </w:r>
      <w:hyperlink r:id="rId58" w:history="1">
        <w:r w:rsidRPr="002F4F07">
          <w:rPr>
            <w:rStyle w:val="Hyperlink"/>
            <w:rFonts w:cs="Times"/>
          </w:rPr>
          <w:t>https://twiki.cern.ch/twiki/bin/view/LCG/WLCGOperationsMeetings</w:t>
        </w:r>
      </w:hyperlink>
    </w:p>
    <w:p w14:paraId="3DA47D99" w14:textId="77777777" w:rsidR="00E1356D" w:rsidRPr="00567E93" w:rsidRDefault="00E1356D" w:rsidP="00E1356D">
      <w:pPr>
        <w:widowControl w:val="0"/>
        <w:autoSpaceDE w:val="0"/>
        <w:autoSpaceDN w:val="0"/>
        <w:adjustRightInd w:val="0"/>
        <w:rPr>
          <w:rFonts w:cs="Times"/>
          <w:lang w:val="fr-CH"/>
        </w:rPr>
      </w:pPr>
      <w:r>
        <w:rPr>
          <w:rFonts w:cs="Times"/>
        </w:rPr>
        <w:t xml:space="preserve"> </w:t>
      </w:r>
      <w:r w:rsidRPr="00567E93">
        <w:rPr>
          <w:rFonts w:cs="Times"/>
          <w:lang w:val="fr-CH"/>
        </w:rPr>
        <w:t xml:space="preserve">[X] CERN DCES (Data Centre Environmental Sensor): </w:t>
      </w:r>
      <w:hyperlink r:id="rId59" w:history="1">
        <w:r w:rsidRPr="00567E93">
          <w:rPr>
            <w:rStyle w:val="Hyperlink"/>
            <w:rFonts w:cs="Times"/>
            <w:lang w:val="fr-CH"/>
          </w:rPr>
          <w:t>http://www.ohwr.org/projects/dces-dtrhf-ser1ch-v1/wiki</w:t>
        </w:r>
      </w:hyperlink>
    </w:p>
    <w:p w14:paraId="78301CDF" w14:textId="19D17F0A" w:rsidR="00E1356D" w:rsidRPr="00CB43FB" w:rsidRDefault="00E1356D" w:rsidP="00CB43FB">
      <w:pPr>
        <w:widowControl w:val="0"/>
        <w:autoSpaceDE w:val="0"/>
        <w:autoSpaceDN w:val="0"/>
        <w:adjustRightInd w:val="0"/>
        <w:rPr>
          <w:rFonts w:cs="Times"/>
        </w:rPr>
      </w:pPr>
      <w:r>
        <w:rPr>
          <w:rFonts w:cs="Times"/>
        </w:rPr>
        <w:t xml:space="preserve">[X] CASTOR external review, April 2010: </w:t>
      </w:r>
      <w:hyperlink r:id="rId60" w:history="1">
        <w:r w:rsidRPr="002F4F07">
          <w:rPr>
            <w:rStyle w:val="Hyperlink"/>
            <w:rFonts w:cs="Times"/>
          </w:rPr>
          <w:t>http://indico.cern.ch/event/104191/overview</w:t>
        </w:r>
      </w:hyperlink>
    </w:p>
    <w:p w14:paraId="7C840EA1" w14:textId="695E938E" w:rsidR="008B0C51" w:rsidRDefault="008B0C51" w:rsidP="007E6CAE">
      <w:pPr>
        <w:pStyle w:val="Heading4"/>
      </w:pPr>
      <w:r w:rsidRPr="006326AE">
        <w:t>5.1.1.4 - The repository shall have a process to record and react to the availability of new security updates based on a risk-benefit assessment.</w:t>
      </w:r>
    </w:p>
    <w:p w14:paraId="1748F2D4" w14:textId="77777777" w:rsidR="004922DE" w:rsidRDefault="004922DE" w:rsidP="004922DE"/>
    <w:p w14:paraId="64987752" w14:textId="4DE1B241" w:rsidR="004922DE" w:rsidRPr="004922DE" w:rsidRDefault="004922DE" w:rsidP="004922DE">
      <w:r w:rsidRPr="004922DE">
        <w:t xml:space="preserve">The CERN Computer Security team is mandated to monitor the threat landscape for security updates impacting the organisation. The processes required for this purposes are managed by the team and include a full-time operational security support rota. The task of ensuring that a service is properly maintained is delegated to the service owners. Details on maintenance plans are collected by the security team as part of the firewall opening procedure. A risk-benefit assessment is carried out per case based on the experience of the security team and the priorities of the organisation. In the event that a significant threat or </w:t>
      </w:r>
      <w:r w:rsidRPr="004922DE">
        <w:lastRenderedPageBreak/>
        <w:t>security update is detected by the Security team, they will manage risk mitigation.</w:t>
      </w:r>
    </w:p>
    <w:p w14:paraId="2F2C6D41" w14:textId="6CD95A00" w:rsidR="008B0C51" w:rsidRDefault="008B0C51" w:rsidP="007E6CAE">
      <w:pPr>
        <w:pStyle w:val="Heading4"/>
      </w:pPr>
      <w:r>
        <w:t>5.1.1.5 - The repository shall have defined processes for storage media and/or hardware change (e.g., refreshing, migration).</w:t>
      </w:r>
    </w:p>
    <w:p w14:paraId="79151B51" w14:textId="77777777" w:rsidR="00673AFF" w:rsidRDefault="00673AFF" w:rsidP="00673AFF"/>
    <w:p w14:paraId="783C5034" w14:textId="77777777" w:rsidR="00673AFF" w:rsidRPr="00C552E0" w:rsidRDefault="00673AFF" w:rsidP="00673AFF">
      <w:pPr>
        <w:rPr>
          <w:rFonts w:cs="Arial"/>
          <w:szCs w:val="20"/>
          <w:lang w:val="en-GB"/>
        </w:rPr>
      </w:pPr>
      <w:r w:rsidRPr="00C552E0">
        <w:rPr>
          <w:rFonts w:cs="Arial"/>
          <w:szCs w:val="20"/>
          <w:lang w:val="en-GB"/>
        </w:rPr>
        <w:t xml:space="preserve">One of the most important activities in CERN’s data archive is the periodic migration (also called “repacking”) of its data to newer storage technology generations, every 3-5 years. </w:t>
      </w:r>
      <w:r w:rsidRPr="00C552E0">
        <w:rPr>
          <w:rFonts w:cs="Arial"/>
          <w:lang w:val="en-GB"/>
        </w:rPr>
        <w:t>The capacity of tape cartridges has been growing exponentially over the last 20 years, and has the potential to continue at this rate for at least the next 10 years. By migrating existing data to newer-generation media, less cartridges will be required and expenses in additional tape libraries and floor space can be avoided.</w:t>
      </w:r>
    </w:p>
    <w:p w14:paraId="3CDDCD3B" w14:textId="77777777" w:rsidR="00673AFF" w:rsidRPr="00C552E0" w:rsidRDefault="00673AFF" w:rsidP="00673AFF">
      <w:pPr>
        <w:rPr>
          <w:rFonts w:cs="Arial"/>
          <w:lang w:val="en-GB"/>
        </w:rPr>
      </w:pPr>
      <w:r w:rsidRPr="00C552E0">
        <w:rPr>
          <w:rFonts w:cs="Arial"/>
          <w:lang w:val="en-GB"/>
        </w:rPr>
        <w:t>Another reason is media reuse: Newer-generation enterprise-class tape drives often allow for the reformatting of existing media at higher density, allowing capacity gains of over 50%. Re-formatting existing media and recopying their contents therefore liberates additional space.</w:t>
      </w:r>
    </w:p>
    <w:p w14:paraId="6150BF45" w14:textId="77777777" w:rsidR="00673AFF" w:rsidRDefault="00673AFF" w:rsidP="00673AFF">
      <w:pPr>
        <w:pStyle w:val="BodyChar"/>
        <w:rPr>
          <w:rFonts w:asciiTheme="minorHAnsi" w:hAnsiTheme="minorHAnsi"/>
          <w:sz w:val="24"/>
          <w:szCs w:val="24"/>
        </w:rPr>
      </w:pPr>
      <w:r w:rsidRPr="00C552E0">
        <w:rPr>
          <w:rFonts w:asciiTheme="minorHAnsi" w:hAnsiTheme="minorHAnsi"/>
          <w:sz w:val="24"/>
          <w:szCs w:val="24"/>
        </w:rPr>
        <w:t>In order to minimise the risk of data loss due to media wear-out, we monitor the number of times a cartridge gets mounted over its lifetime, and decommission it after 5000 mounts (well below the typical lifespan of 20’000 mounts). In practice, we only get to decommission 3-4 cartridges / year as most of the tapes are well below that threshold.</w:t>
      </w:r>
    </w:p>
    <w:p w14:paraId="71C696E6" w14:textId="77777777" w:rsidR="00673AFF" w:rsidRPr="00C552E0" w:rsidRDefault="00673AFF" w:rsidP="00673AFF">
      <w:pPr>
        <w:pStyle w:val="BodyChar"/>
        <w:rPr>
          <w:rFonts w:asciiTheme="minorHAnsi" w:hAnsiTheme="minorHAnsi"/>
          <w:sz w:val="24"/>
          <w:szCs w:val="24"/>
        </w:rPr>
      </w:pPr>
      <w:r w:rsidRPr="00C552E0">
        <w:rPr>
          <w:rFonts w:asciiTheme="minorHAnsi" w:hAnsiTheme="minorHAnsi"/>
          <w:sz w:val="24"/>
          <w:szCs w:val="24"/>
        </w:rPr>
        <w:t>All migrated data is subject to systematic verification as described in 5.1.1.3 as integral part of the media migration exercise.</w:t>
      </w:r>
    </w:p>
    <w:p w14:paraId="6A97F7C7" w14:textId="77777777" w:rsidR="00673AFF" w:rsidRPr="00C552E0" w:rsidRDefault="00673AFF" w:rsidP="00673AFF">
      <w:pPr>
        <w:rPr>
          <w:lang w:val="en-GB"/>
        </w:rPr>
      </w:pPr>
      <w:r w:rsidRPr="00C552E0">
        <w:rPr>
          <w:lang w:val="en-GB"/>
        </w:rPr>
        <w:t>CERN fully takes into account verification and migration costs (in terms of required time and resources) for its resource and capacity planning. In its large archive, the active data (influx of new data and files being read from the archive) represents only a small fraction of the total archive size. However, for a large-scale migration exercise, on top of the active data rates, the totality of the archived data will have to be first read, then written, and again read for verification. Given that tape drives can become a bottleneck as the required data rates for the migration exercise may easily increase by orders of magnitude, CERN overcomes this problem by either procuring additional tape drives for the duration of the migration, and/or stretching the migration in time.</w:t>
      </w:r>
    </w:p>
    <w:p w14:paraId="630981CE" w14:textId="77777777" w:rsidR="00673AFF" w:rsidRPr="00352FCA" w:rsidRDefault="00673AFF" w:rsidP="00673AFF">
      <w:pPr>
        <w:pStyle w:val="BodyChar"/>
        <w:rPr>
          <w:rFonts w:asciiTheme="minorHAnsi" w:hAnsiTheme="minorHAnsi"/>
          <w:sz w:val="24"/>
          <w:szCs w:val="24"/>
        </w:rPr>
      </w:pPr>
      <w:r w:rsidRPr="00C552E0">
        <w:rPr>
          <w:rFonts w:asciiTheme="minorHAnsi" w:hAnsiTheme="minorHAnsi"/>
          <w:sz w:val="24"/>
          <w:szCs w:val="24"/>
        </w:rPr>
        <w:t>Details on the preparation and execution of recent media migration exercises at CERN can be found in [X] and [X].</w:t>
      </w:r>
    </w:p>
    <w:p w14:paraId="4D145786" w14:textId="77777777" w:rsidR="00673AFF" w:rsidRDefault="00673AFF" w:rsidP="00673AFF">
      <w:pPr>
        <w:widowControl w:val="0"/>
        <w:autoSpaceDE w:val="0"/>
        <w:autoSpaceDN w:val="0"/>
        <w:adjustRightInd w:val="0"/>
        <w:rPr>
          <w:lang w:val="en-GB"/>
        </w:rPr>
      </w:pPr>
    </w:p>
    <w:p w14:paraId="353AC8EF" w14:textId="55891BC6" w:rsidR="00673AFF" w:rsidRDefault="00067503" w:rsidP="00673AFF">
      <w:pPr>
        <w:widowControl w:val="0"/>
        <w:autoSpaceDE w:val="0"/>
        <w:autoSpaceDN w:val="0"/>
        <w:adjustRightInd w:val="0"/>
        <w:rPr>
          <w:lang w:val="en-GB"/>
        </w:rPr>
      </w:pPr>
      <w:r>
        <w:rPr>
          <w:lang w:val="en-GB"/>
        </w:rPr>
        <w:t xml:space="preserve"> </w:t>
      </w:r>
      <w:r w:rsidR="00673AFF">
        <w:rPr>
          <w:lang w:val="en-GB"/>
        </w:rPr>
        <w:t xml:space="preserve">[X] CHEP 2013: “The Repack Challenge”: </w:t>
      </w:r>
      <w:hyperlink r:id="rId61" w:history="1">
        <w:r w:rsidR="00673AFF" w:rsidRPr="002F4F07">
          <w:rPr>
            <w:rStyle w:val="Hyperlink"/>
            <w:lang w:val="en-GB"/>
          </w:rPr>
          <w:t>http://iopscience.iop.org/article/10.1088/1742-6596/513/4/042028/pdf</w:t>
        </w:r>
      </w:hyperlink>
    </w:p>
    <w:p w14:paraId="39C5E704" w14:textId="2B3B4EEB" w:rsidR="00673AFF" w:rsidRPr="00673AFF" w:rsidRDefault="00673AFF" w:rsidP="00673AFF">
      <w:r>
        <w:rPr>
          <w:lang w:val="en-GB"/>
        </w:rPr>
        <w:t xml:space="preserve">[X] </w:t>
      </w:r>
      <w:r>
        <w:rPr>
          <w:rFonts w:cs="Arial"/>
          <w:szCs w:val="20"/>
          <w:lang w:val="en-GB"/>
        </w:rPr>
        <w:t xml:space="preserve">CHEP 2015: “Experiences and challenges running CERN’s high capacity tape archive”. </w:t>
      </w:r>
      <w:hyperlink r:id="rId62" w:history="1">
        <w:r w:rsidRPr="002F4F07">
          <w:rPr>
            <w:rStyle w:val="Hyperlink"/>
            <w:rFonts w:cs="Arial"/>
            <w:szCs w:val="20"/>
            <w:lang w:val="en-GB"/>
          </w:rPr>
          <w:t>http://iopscience.iop.org/article/10.1088/1742-6596/664/4/042006</w:t>
        </w:r>
      </w:hyperlink>
    </w:p>
    <w:p w14:paraId="75542C9B" w14:textId="444529BA" w:rsidR="008B0C51" w:rsidRPr="008B0C51" w:rsidRDefault="008B0C51" w:rsidP="004E4510">
      <w:pPr>
        <w:pStyle w:val="Heading4"/>
      </w:pPr>
      <w:r>
        <w:lastRenderedPageBreak/>
        <w:t>5.1.1.6 - The repository shall have identified and documented critical processes that affect its ability to comply with its mandatory responsibilities.</w:t>
      </w:r>
    </w:p>
    <w:p w14:paraId="506DF4E6" w14:textId="77777777" w:rsidR="004E4510" w:rsidRPr="004E4510" w:rsidRDefault="004E4510" w:rsidP="004E4510">
      <w:pPr>
        <w:pStyle w:val="Heading5"/>
      </w:pPr>
      <w:r w:rsidRPr="004E4510">
        <w:t>5.1.1.6.1 - The repository shall have a documented change management process that identifies changes to critical processes that potentially affect the repository's ability to comply with its mandatory responsibilities.</w:t>
      </w:r>
    </w:p>
    <w:p w14:paraId="61690E40" w14:textId="77777777" w:rsidR="004E4510" w:rsidRDefault="004E4510" w:rsidP="004E4510">
      <w:pPr>
        <w:pStyle w:val="Heading5"/>
        <w:rPr>
          <w:bCs/>
        </w:rPr>
      </w:pPr>
      <w:r w:rsidRPr="004E4510">
        <w:t>5.1.1.6.2 - The repository shall have a process for testing and evaluating the effect of changes to the repository's critical processes.</w:t>
      </w:r>
    </w:p>
    <w:p w14:paraId="7CAC342D" w14:textId="16548A2A" w:rsidR="008B0C51" w:rsidRDefault="008B0C51" w:rsidP="004E4510">
      <w:pPr>
        <w:pStyle w:val="Heading3"/>
      </w:pPr>
      <w:r w:rsidRPr="008B0C51">
        <w:t>5.1.2 - The repository shall manage the number and location of copies of all digital objects.</w:t>
      </w:r>
    </w:p>
    <w:p w14:paraId="7C20FEC7" w14:textId="77777777" w:rsidR="00673AFF" w:rsidRDefault="00673AFF" w:rsidP="00673AFF"/>
    <w:p w14:paraId="18DB210A" w14:textId="780F92FE" w:rsidR="00673AFF" w:rsidRPr="00673AFF" w:rsidRDefault="00673AFF" w:rsidP="00673AFF">
      <w:pPr>
        <w:rPr>
          <w:rFonts w:cs="Arial"/>
          <w:szCs w:val="20"/>
          <w:lang w:val="en-GB"/>
        </w:rPr>
      </w:pPr>
      <w:r w:rsidRPr="00C552E0">
        <w:rPr>
          <w:rFonts w:cs="Arial"/>
          <w:szCs w:val="20"/>
          <w:lang w:val="en-GB"/>
        </w:rPr>
        <w:t>CASTOR provides a metadata system which includes not only all file-level metadata, but also the exact location of each file on tape, as well as the status and exact slot location of each tape within each of the tape libraries. All tapes are always residing inside a tape library; no shelving is done at CERN. By default, a single copy of a file written to the CERN archive is stored on tape media. Secondary copies can be generated with a directory-level configuration option. Data copies of the same file will be stored in separate libraries by different vendors residing in different physical buildings. In case of a corrupt copy, CASTOR will discard it and recreate a copy of the correct file. Note that the LHC experiments do by themselves export and maintain physics data copies outside CERN; however, for critical data sets that require particularly high reliability they also store second copies in the CERN archive. Second data copies are also interesting for smaller (non-LHC) experiments that do not want to keep, or cannot afford to keep, off-site replicas of their data.</w:t>
      </w:r>
    </w:p>
    <w:p w14:paraId="755AA4A5" w14:textId="77777777" w:rsidR="008B0C51" w:rsidRDefault="008B0C51" w:rsidP="004E4510">
      <w:pPr>
        <w:pStyle w:val="Heading4"/>
      </w:pPr>
      <w:r w:rsidRPr="008B0C51">
        <w:t>5.1.2.1 - The repository shall have mechanisms in place to ensure any/multiple copies of digital objects are synchronized.</w:t>
      </w:r>
    </w:p>
    <w:p w14:paraId="316B4959" w14:textId="77777777" w:rsidR="009A4921" w:rsidRDefault="009A4921" w:rsidP="008B0C51"/>
    <w:p w14:paraId="7BE9BB76" w14:textId="1104DB0E" w:rsidR="009A4921" w:rsidRPr="00673AFF" w:rsidRDefault="00673AFF">
      <w:pPr>
        <w:rPr>
          <w:rFonts w:cs="Arial"/>
          <w:szCs w:val="20"/>
          <w:lang w:val="en-GB"/>
        </w:rPr>
      </w:pPr>
      <w:r w:rsidRPr="00C552E0">
        <w:rPr>
          <w:rFonts w:cs="Arial"/>
          <w:szCs w:val="20"/>
          <w:lang w:val="en-GB"/>
        </w:rPr>
        <w:t>Files stored in CASTOR are immutable, meaning that updating files is not supported. New versions of files can only be generated by prior deletion of the previous copy. The CASTOR software internally handles consistency of files between the disk cache and the tape archive. While no user-level “undelete” operation exists in CASTOR, service managers can attempt recovery after accidental/undesired deletion incidents, as by the “append-only” nature of tape technology, deleted data remains physically on tape (until media migration or decommissioning); and no overwriting does apply. The CASTOR metadata server logs all file operations therefore allowing for full reconstruction of metadata and therefore restoring the data itself.</w:t>
      </w:r>
    </w:p>
    <w:p w14:paraId="62040762" w14:textId="1237372C" w:rsidR="009A4921" w:rsidRDefault="009A4921" w:rsidP="006326AE">
      <w:pPr>
        <w:pStyle w:val="Heading2"/>
      </w:pPr>
      <w:r>
        <w:t>5.2) Security Risk Management</w:t>
      </w:r>
    </w:p>
    <w:p w14:paraId="787A877C" w14:textId="77777777" w:rsidR="007E6CAE" w:rsidRDefault="007E6CAE" w:rsidP="007E6CAE"/>
    <w:p w14:paraId="0FAC8847" w14:textId="65E50FB6" w:rsidR="007E6CAE" w:rsidRPr="007E6CAE" w:rsidRDefault="007E6CAE" w:rsidP="007E6CAE">
      <w:r>
        <w:t xml:space="preserve">(See also </w:t>
      </w:r>
      <w:hyperlink r:id="rId63" w:history="1">
        <w:r w:rsidRPr="00471FB5">
          <w:rPr>
            <w:rStyle w:val="Hyperlink"/>
          </w:rPr>
          <w:t>https://en.wikipedia.org/wiki/ISO/IEC_27002</w:t>
        </w:r>
      </w:hyperlink>
      <w:r>
        <w:t xml:space="preserve">). </w:t>
      </w:r>
    </w:p>
    <w:p w14:paraId="4F9C363C" w14:textId="6ABF2A23" w:rsidR="009A4921" w:rsidRDefault="009A4921" w:rsidP="00CB43FB">
      <w:pPr>
        <w:pStyle w:val="Heading3"/>
      </w:pPr>
      <w:r w:rsidRPr="009A4921">
        <w:t>5.2.1 - The repository shall maintain a systematic analysis of security risk factors associated with data, systems, personnel, and physical plant.</w:t>
      </w:r>
    </w:p>
    <w:p w14:paraId="2DE021F8" w14:textId="77777777" w:rsidR="005A36FC" w:rsidRDefault="005A36FC" w:rsidP="005A36FC"/>
    <w:p w14:paraId="0A83F3F9" w14:textId="033358E0" w:rsidR="005A36FC" w:rsidRPr="005A36FC" w:rsidRDefault="005A36FC" w:rsidP="005A36FC">
      <w:r>
        <w:lastRenderedPageBreak/>
        <w:t>See also 5.2.2 regarding physical access to the CERN site and to specific locations within it (such as the IT Computer Centre).</w:t>
      </w:r>
    </w:p>
    <w:p w14:paraId="27FFE955" w14:textId="77777777" w:rsidR="004922DE" w:rsidRDefault="004922DE" w:rsidP="004922DE"/>
    <w:p w14:paraId="1FA73247" w14:textId="1A7C17E2" w:rsidR="004922DE" w:rsidRDefault="004922DE" w:rsidP="004922DE">
      <w:r>
        <w:t>CERN has a dedicated Computer Security team that helps with the following:</w:t>
      </w:r>
    </w:p>
    <w:p w14:paraId="76FF968E" w14:textId="77777777" w:rsidR="004922DE" w:rsidRDefault="004922DE" w:rsidP="004922DE"/>
    <w:p w14:paraId="31102EF9" w14:textId="77777777" w:rsidR="004922DE" w:rsidRDefault="004922DE" w:rsidP="004922DE">
      <w:pPr>
        <w:numPr>
          <w:ilvl w:val="0"/>
          <w:numId w:val="17"/>
        </w:numPr>
        <w:ind w:left="300" w:right="300"/>
        <w:jc w:val="both"/>
        <w:rPr>
          <w:rFonts w:ascii="Arial" w:eastAsia="Times New Roman" w:hAnsi="Arial" w:cs="Arial"/>
          <w:color w:val="333333"/>
          <w:sz w:val="22"/>
          <w:szCs w:val="22"/>
        </w:rPr>
      </w:pPr>
      <w:r>
        <w:rPr>
          <w:rFonts w:ascii="Arial" w:eastAsia="Times New Roman" w:hAnsi="Arial" w:cs="Arial"/>
          <w:color w:val="333333"/>
          <w:sz w:val="22"/>
          <w:szCs w:val="22"/>
        </w:rPr>
        <w:t>The CERN </w:t>
      </w:r>
      <w:hyperlink r:id="rId64" w:history="1">
        <w:r>
          <w:rPr>
            <w:rStyle w:val="Hyperlink"/>
            <w:rFonts w:ascii="Arial" w:eastAsia="Times New Roman" w:hAnsi="Arial" w:cs="Arial"/>
            <w:b/>
            <w:bCs/>
            <w:color w:val="8E79A5"/>
            <w:sz w:val="22"/>
            <w:szCs w:val="22"/>
          </w:rPr>
          <w:t>Computing Rules</w:t>
        </w:r>
      </w:hyperlink>
      <w:r>
        <w:rPr>
          <w:rFonts w:ascii="Arial" w:eastAsia="Times New Roman" w:hAnsi="Arial" w:cs="Arial"/>
          <w:color w:val="333333"/>
          <w:sz w:val="22"/>
          <w:szCs w:val="22"/>
        </w:rPr>
        <w:t>, i.e. the "Dos" and "Don'ts" for using CERN's computing facilities;</w:t>
      </w:r>
    </w:p>
    <w:p w14:paraId="54E6E457" w14:textId="75CEBD81" w:rsidR="004922DE" w:rsidRDefault="00F17642" w:rsidP="004922DE">
      <w:pPr>
        <w:numPr>
          <w:ilvl w:val="0"/>
          <w:numId w:val="17"/>
        </w:numPr>
        <w:ind w:left="300" w:right="300"/>
        <w:jc w:val="both"/>
        <w:rPr>
          <w:rFonts w:ascii="Arial" w:eastAsia="Times New Roman" w:hAnsi="Arial" w:cs="Arial"/>
          <w:color w:val="333333"/>
          <w:sz w:val="22"/>
          <w:szCs w:val="22"/>
        </w:rPr>
      </w:pPr>
      <w:hyperlink r:id="rId65" w:history="1">
        <w:r w:rsidR="004922DE">
          <w:rPr>
            <w:rStyle w:val="Hyperlink"/>
            <w:rFonts w:ascii="Arial" w:eastAsia="Times New Roman" w:hAnsi="Arial" w:cs="Arial"/>
            <w:b/>
            <w:bCs/>
            <w:color w:val="8E79A5"/>
            <w:sz w:val="22"/>
            <w:szCs w:val="22"/>
          </w:rPr>
          <w:t>Recommendations</w:t>
        </w:r>
      </w:hyperlink>
      <w:r w:rsidR="004922DE">
        <w:rPr>
          <w:rFonts w:ascii="Arial" w:eastAsia="Times New Roman" w:hAnsi="Arial" w:cs="Arial"/>
          <w:color w:val="333333"/>
          <w:sz w:val="22"/>
          <w:szCs w:val="22"/>
        </w:rPr>
        <w:t>, i.e. tips, hints &amp; best practices intended to helping you to properly assume this responsibility;</w:t>
      </w:r>
    </w:p>
    <w:p w14:paraId="38D2CE4C" w14:textId="77777777" w:rsidR="004922DE" w:rsidRDefault="00F17642" w:rsidP="004922DE">
      <w:pPr>
        <w:numPr>
          <w:ilvl w:val="0"/>
          <w:numId w:val="17"/>
        </w:numPr>
        <w:ind w:left="300" w:right="300"/>
        <w:jc w:val="both"/>
        <w:rPr>
          <w:rFonts w:ascii="Arial" w:eastAsia="Times New Roman" w:hAnsi="Arial" w:cs="Arial"/>
          <w:color w:val="333333"/>
          <w:sz w:val="22"/>
          <w:szCs w:val="22"/>
        </w:rPr>
      </w:pPr>
      <w:hyperlink r:id="rId66" w:history="1">
        <w:r w:rsidR="004922DE">
          <w:rPr>
            <w:rStyle w:val="Hyperlink"/>
            <w:rFonts w:ascii="Arial" w:eastAsia="Times New Roman" w:hAnsi="Arial" w:cs="Arial"/>
            <w:b/>
            <w:bCs/>
            <w:color w:val="8E79A5"/>
            <w:sz w:val="22"/>
            <w:szCs w:val="22"/>
          </w:rPr>
          <w:t>Training</w:t>
        </w:r>
      </w:hyperlink>
      <w:r w:rsidR="004922DE">
        <w:rPr>
          <w:rFonts w:ascii="Arial" w:eastAsia="Times New Roman" w:hAnsi="Arial" w:cs="Arial"/>
          <w:color w:val="333333"/>
          <w:sz w:val="22"/>
          <w:szCs w:val="22"/>
        </w:rPr>
        <w:t> courses and material for starters &amp; experts;</w:t>
      </w:r>
    </w:p>
    <w:p w14:paraId="0A411AA5" w14:textId="77777777" w:rsidR="004922DE" w:rsidRDefault="004922DE" w:rsidP="004922DE">
      <w:pPr>
        <w:numPr>
          <w:ilvl w:val="0"/>
          <w:numId w:val="17"/>
        </w:numPr>
        <w:ind w:left="300" w:right="300"/>
        <w:jc w:val="both"/>
        <w:rPr>
          <w:rFonts w:ascii="Arial" w:eastAsia="Times New Roman" w:hAnsi="Arial" w:cs="Arial"/>
          <w:color w:val="333333"/>
          <w:sz w:val="22"/>
          <w:szCs w:val="22"/>
        </w:rPr>
      </w:pPr>
      <w:r>
        <w:rPr>
          <w:rFonts w:ascii="Arial" w:eastAsia="Times New Roman" w:hAnsi="Arial" w:cs="Arial"/>
          <w:color w:val="333333"/>
          <w:sz w:val="22"/>
          <w:szCs w:val="22"/>
        </w:rPr>
        <w:t>Security </w:t>
      </w:r>
      <w:hyperlink r:id="rId67" w:history="1">
        <w:r>
          <w:rPr>
            <w:rStyle w:val="Hyperlink"/>
            <w:rFonts w:ascii="Arial" w:eastAsia="Times New Roman" w:hAnsi="Arial" w:cs="Arial"/>
            <w:b/>
            <w:bCs/>
            <w:color w:val="8E79A5"/>
            <w:sz w:val="22"/>
            <w:szCs w:val="22"/>
          </w:rPr>
          <w:t>Services</w:t>
        </w:r>
      </w:hyperlink>
      <w:r>
        <w:rPr>
          <w:rFonts w:ascii="Arial" w:eastAsia="Times New Roman" w:hAnsi="Arial" w:cs="Arial"/>
          <w:color w:val="333333"/>
          <w:sz w:val="22"/>
          <w:szCs w:val="22"/>
        </w:rPr>
        <w:t> provided for you by the Computer Security Team; and</w:t>
      </w:r>
    </w:p>
    <w:p w14:paraId="7EA7E808" w14:textId="77777777" w:rsidR="004922DE" w:rsidRDefault="00F17642" w:rsidP="004922DE">
      <w:pPr>
        <w:numPr>
          <w:ilvl w:val="0"/>
          <w:numId w:val="17"/>
        </w:numPr>
        <w:ind w:left="300" w:right="300"/>
        <w:jc w:val="both"/>
        <w:rPr>
          <w:rFonts w:ascii="Arial" w:eastAsia="Times New Roman" w:hAnsi="Arial" w:cs="Arial"/>
          <w:color w:val="333333"/>
          <w:sz w:val="22"/>
          <w:szCs w:val="22"/>
        </w:rPr>
      </w:pPr>
      <w:hyperlink r:id="rId68" w:history="1">
        <w:r w:rsidR="004922DE">
          <w:rPr>
            <w:rStyle w:val="Hyperlink"/>
            <w:rFonts w:ascii="Arial" w:eastAsia="Times New Roman" w:hAnsi="Arial" w:cs="Arial"/>
            <w:b/>
            <w:bCs/>
            <w:color w:val="8E79A5"/>
            <w:sz w:val="22"/>
            <w:szCs w:val="22"/>
          </w:rPr>
          <w:t>Reports &amp; Presentations</w:t>
        </w:r>
      </w:hyperlink>
      <w:r w:rsidR="004922DE">
        <w:rPr>
          <w:rFonts w:ascii="Arial" w:eastAsia="Times New Roman" w:hAnsi="Arial" w:cs="Arial"/>
          <w:color w:val="333333"/>
          <w:sz w:val="22"/>
          <w:szCs w:val="22"/>
        </w:rPr>
        <w:t> featuring monthly reports, theses, reports from conferences, dedicated presentations &amp; much more.</w:t>
      </w:r>
    </w:p>
    <w:p w14:paraId="463FBB86" w14:textId="77777777" w:rsidR="004922DE" w:rsidRDefault="004922DE" w:rsidP="004922DE"/>
    <w:p w14:paraId="174D3581" w14:textId="6B8B7FAB" w:rsidR="004922DE" w:rsidRPr="004922DE" w:rsidRDefault="00FD3EE8" w:rsidP="004922DE">
      <w:r>
        <w:t>High-</w:t>
      </w:r>
      <w:r w:rsidR="004922DE" w:rsidRPr="004922DE">
        <w:t>level risks to the organisation are identified b</w:t>
      </w:r>
      <w:r w:rsidR="004922DE">
        <w:t>y the Computer Security Officer who reports to the IT department head and thus to the Directorate.</w:t>
      </w:r>
    </w:p>
    <w:p w14:paraId="36D96A66" w14:textId="77777777" w:rsidR="009A4921" w:rsidRPr="00CB43FB" w:rsidRDefault="009A4921" w:rsidP="00CB43FB">
      <w:pPr>
        <w:pStyle w:val="Heading3"/>
      </w:pPr>
      <w:r w:rsidRPr="00CB43FB">
        <w:t>5.2.2 - The repository shall have implemented controls to adequately address each of the defined security risks.</w:t>
      </w:r>
    </w:p>
    <w:p w14:paraId="75546EAB" w14:textId="77777777" w:rsidR="00AC5E50" w:rsidRDefault="00AC5E50" w:rsidP="00AC5E50"/>
    <w:p w14:paraId="43269AE5" w14:textId="1B67BC35" w:rsidR="00AC5E50" w:rsidRDefault="00AC5E50" w:rsidP="00AC5E50">
      <w:r w:rsidRPr="00AC5E50">
        <w:t>Intrusion Detection and Threat intelligence services cover all CERN network traffic. To address service related risks, the security team controls firewall openings and performs manual audits before approving requests. </w:t>
      </w:r>
    </w:p>
    <w:p w14:paraId="71008401" w14:textId="77777777" w:rsidR="00AC5E50" w:rsidRDefault="00AC5E50" w:rsidP="00AC5E50"/>
    <w:p w14:paraId="742AF42F" w14:textId="225271D4" w:rsidR="00AC5E50" w:rsidRDefault="00AC5E50" w:rsidP="00AC5E50">
      <w:r>
        <w:t xml:space="preserve">Physical access to the IT Computer Centre is strictly controlled and requires authorization for specific purposes and durations. </w:t>
      </w:r>
    </w:p>
    <w:p w14:paraId="331AB304" w14:textId="77777777" w:rsidR="00AC5E50" w:rsidRDefault="00AC5E50" w:rsidP="00AC5E50"/>
    <w:p w14:paraId="4FE58F88" w14:textId="2C298AF4" w:rsidR="00AC5E50" w:rsidRDefault="00AC5E50" w:rsidP="00AC5E50">
      <w:r>
        <w:t>Physical access to the CERN Site is also subject to badge control. Authorised visitors are required to wear badges at all time and to be accompanied by members of CERN Staff who are responsible for their behaviour and for limiting their access to the specific buildings / locations that are needed for the purpose of their visit.</w:t>
      </w:r>
    </w:p>
    <w:p w14:paraId="50C48702" w14:textId="77777777" w:rsidR="00AC5E50" w:rsidRDefault="00AC5E50" w:rsidP="00AC5E50"/>
    <w:p w14:paraId="1E7C45CC" w14:textId="0BED42B6" w:rsidR="00AC5E50" w:rsidRPr="00AC5E50" w:rsidRDefault="00AC5E50" w:rsidP="00AC5E50">
      <w:r>
        <w:t xml:space="preserve">The rules for physical access to the site are maintained in conjunction with security recommendations from the host states (Switzerland and France). </w:t>
      </w:r>
    </w:p>
    <w:p w14:paraId="4DD39349" w14:textId="77777777" w:rsidR="009A4921" w:rsidRPr="00CB43FB" w:rsidRDefault="009A4921" w:rsidP="00CB43FB">
      <w:pPr>
        <w:pStyle w:val="Heading3"/>
      </w:pPr>
      <w:r w:rsidRPr="00CB43FB">
        <w:t>5.2.3 - The repository staff shall have delineated roles, responsibilities, and authorizations related to implementing changes within the system.</w:t>
      </w:r>
    </w:p>
    <w:p w14:paraId="791B61D6" w14:textId="77777777" w:rsidR="00AC5E50" w:rsidRDefault="00AC5E50" w:rsidP="00AC5E50"/>
    <w:p w14:paraId="2A854AAD" w14:textId="42E8B315" w:rsidR="00AC5E50" w:rsidRPr="00AC5E50" w:rsidRDefault="00AC5E50" w:rsidP="00AC5E50">
      <w:r w:rsidRPr="00AC5E50">
        <w:t>Authorisation to make system changes is managed per service by authorising specific accounts or groups. Account provisioning and usage is gove</w:t>
      </w:r>
      <w:r>
        <w:t>rned by Operational Circular No</w:t>
      </w:r>
      <w:r w:rsidRPr="00AC5E50">
        <w:t>5 </w:t>
      </w:r>
      <w:hyperlink r:id="rId69" w:history="1">
        <w:r w:rsidRPr="00AC5E50">
          <w:rPr>
            <w:rStyle w:val="Hyperlink"/>
          </w:rPr>
          <w:t>https://security.web.cern.ch/security/rules/en/OC5_english.pdf</w:t>
        </w:r>
      </w:hyperlink>
    </w:p>
    <w:p w14:paraId="48C63541" w14:textId="77777777" w:rsidR="009A4921" w:rsidRDefault="009A4921" w:rsidP="009A4921">
      <w:pPr>
        <w:pStyle w:val="Heading3"/>
      </w:pPr>
      <w:r>
        <w:t>5.2.4 - The repository shall have suitable written disaster preparedness and recovery plan(s), including at least one off-site backup of all preserved information together with an offsite copy of the recovery plan(s).</w:t>
      </w:r>
    </w:p>
    <w:p w14:paraId="368961CD" w14:textId="77777777" w:rsidR="00A46014" w:rsidRDefault="00A46014">
      <w:pPr>
        <w:rPr>
          <w:rFonts w:asciiTheme="majorHAnsi" w:eastAsiaTheme="majorEastAsia" w:hAnsiTheme="majorHAnsi" w:cstheme="majorBidi"/>
          <w:b/>
          <w:bCs/>
          <w:color w:val="345A8A" w:themeColor="accent1" w:themeShade="B5"/>
          <w:sz w:val="32"/>
          <w:szCs w:val="32"/>
        </w:rPr>
      </w:pPr>
      <w:r>
        <w:br w:type="page"/>
      </w:r>
    </w:p>
    <w:p w14:paraId="3065D9BF" w14:textId="28E6BA64" w:rsidR="00A46014" w:rsidRPr="00A46014" w:rsidRDefault="00A46014" w:rsidP="00A46014">
      <w:pPr>
        <w:pStyle w:val="Heading1"/>
      </w:pPr>
      <w:r>
        <w:lastRenderedPageBreak/>
        <w:t>Appendix A – Scientific Data at CERN</w:t>
      </w:r>
    </w:p>
    <w:p w14:paraId="1EA8BD15" w14:textId="77777777" w:rsidR="00A46014" w:rsidRDefault="00A46014" w:rsidP="00A46014"/>
    <w:p w14:paraId="4A6A8759" w14:textId="74383ADC" w:rsidR="00A46014" w:rsidRPr="00687F2B" w:rsidRDefault="00AF3217" w:rsidP="00A46014">
      <w:pPr>
        <w:rPr>
          <w:u w:val="single"/>
        </w:rPr>
      </w:pPr>
      <w:r>
        <w:rPr>
          <w:u w:val="single"/>
        </w:rPr>
        <w:t xml:space="preserve">The </w:t>
      </w:r>
      <w:r w:rsidR="00A46014" w:rsidRPr="00687F2B">
        <w:rPr>
          <w:u w:val="single"/>
        </w:rPr>
        <w:t>DPHEP Collaboration Agreement</w:t>
      </w:r>
      <w:r>
        <w:rPr>
          <w:u w:val="single"/>
        </w:rPr>
        <w:t xml:space="preserve"> states</w:t>
      </w:r>
      <w:r w:rsidR="00A46014" w:rsidRPr="00687F2B">
        <w:rPr>
          <w:u w:val="single"/>
        </w:rPr>
        <w:t>:</w:t>
      </w:r>
    </w:p>
    <w:p w14:paraId="73D74E6D" w14:textId="77777777" w:rsidR="00A46014" w:rsidRDefault="00A46014" w:rsidP="00A46014"/>
    <w:p w14:paraId="25E8976C" w14:textId="77777777" w:rsidR="00A46014" w:rsidRPr="0022687A" w:rsidRDefault="00A46014" w:rsidP="00A46014">
      <w:pPr>
        <w:jc w:val="both"/>
        <w:rPr>
          <w:i/>
        </w:rPr>
      </w:pPr>
      <w:r w:rsidRPr="0022687A">
        <w:rPr>
          <w:i/>
        </w:rPr>
        <w:t>2.1 The Project, in coordination with the International Committee for Future Accelerators (ICFA), aims at:</w:t>
      </w:r>
    </w:p>
    <w:p w14:paraId="6705CC65" w14:textId="77777777" w:rsidR="00A46014" w:rsidRPr="0022687A" w:rsidRDefault="00A46014" w:rsidP="00A46014">
      <w:pPr>
        <w:jc w:val="both"/>
        <w:rPr>
          <w:i/>
        </w:rPr>
      </w:pPr>
    </w:p>
    <w:p w14:paraId="647F2770" w14:textId="77777777" w:rsidR="00A46014" w:rsidRPr="0022687A" w:rsidRDefault="00A46014" w:rsidP="00A46014">
      <w:pPr>
        <w:pStyle w:val="ListParagraph"/>
        <w:numPr>
          <w:ilvl w:val="0"/>
          <w:numId w:val="10"/>
        </w:numPr>
        <w:jc w:val="both"/>
        <w:rPr>
          <w:i/>
        </w:rPr>
      </w:pPr>
      <w:r w:rsidRPr="0022687A">
        <w:rPr>
          <w:i/>
        </w:rPr>
        <w:t>Positioning itself as the natural forum for the entire discipline in order to foster discussion, achieve consensus and transfer knowledge in two main areas:</w:t>
      </w:r>
    </w:p>
    <w:p w14:paraId="7D18F157" w14:textId="77777777" w:rsidR="00A46014" w:rsidRPr="0022687A" w:rsidRDefault="00A46014" w:rsidP="00A46014">
      <w:pPr>
        <w:pStyle w:val="ListParagraph"/>
        <w:jc w:val="both"/>
        <w:rPr>
          <w:i/>
        </w:rPr>
      </w:pPr>
    </w:p>
    <w:p w14:paraId="40EF87E6" w14:textId="77777777" w:rsidR="00A46014" w:rsidRPr="0022687A" w:rsidRDefault="00A46014" w:rsidP="00A46014">
      <w:pPr>
        <w:pStyle w:val="ListParagraph"/>
        <w:numPr>
          <w:ilvl w:val="0"/>
          <w:numId w:val="11"/>
        </w:numPr>
        <w:jc w:val="both"/>
        <w:rPr>
          <w:i/>
        </w:rPr>
      </w:pPr>
      <w:r w:rsidRPr="0022687A">
        <w:rPr>
          <w:i/>
        </w:rPr>
        <w:t>Technological challenges in data preservation in HEP,</w:t>
      </w:r>
    </w:p>
    <w:p w14:paraId="403D4E9B" w14:textId="77777777" w:rsidR="00A46014" w:rsidRPr="0022687A" w:rsidRDefault="00A46014" w:rsidP="00A46014">
      <w:pPr>
        <w:pStyle w:val="ListParagraph"/>
        <w:numPr>
          <w:ilvl w:val="0"/>
          <w:numId w:val="11"/>
        </w:numPr>
        <w:jc w:val="both"/>
        <w:rPr>
          <w:i/>
        </w:rPr>
      </w:pPr>
      <w:r w:rsidRPr="0022687A">
        <w:rPr>
          <w:i/>
        </w:rPr>
        <w:t>Diverse governance at the collaboration and community level for preserved data,</w:t>
      </w:r>
    </w:p>
    <w:p w14:paraId="0AFD782A" w14:textId="77777777" w:rsidR="00A46014" w:rsidRPr="0022687A" w:rsidRDefault="00A46014" w:rsidP="00A46014">
      <w:pPr>
        <w:jc w:val="both"/>
        <w:rPr>
          <w:i/>
        </w:rPr>
      </w:pPr>
    </w:p>
    <w:p w14:paraId="38F78D4B" w14:textId="77777777" w:rsidR="00A46014" w:rsidRPr="0022687A" w:rsidRDefault="00A46014" w:rsidP="00A46014">
      <w:pPr>
        <w:pStyle w:val="ListParagraph"/>
        <w:numPr>
          <w:ilvl w:val="0"/>
          <w:numId w:val="10"/>
        </w:numPr>
        <w:jc w:val="both"/>
        <w:rPr>
          <w:i/>
        </w:rPr>
      </w:pPr>
      <w:r w:rsidRPr="0022687A">
        <w:rPr>
          <w:i/>
        </w:rPr>
        <w:t>Co-ordinate common R&amp;D projects aiming to establish common, discipline-wide preservation tools,</w:t>
      </w:r>
    </w:p>
    <w:p w14:paraId="0BF44C44" w14:textId="77777777" w:rsidR="00A46014" w:rsidRPr="0022687A" w:rsidRDefault="00A46014" w:rsidP="00A46014">
      <w:pPr>
        <w:pStyle w:val="ListParagraph"/>
        <w:jc w:val="both"/>
        <w:rPr>
          <w:i/>
        </w:rPr>
      </w:pPr>
    </w:p>
    <w:p w14:paraId="361E9443" w14:textId="77777777" w:rsidR="00A46014" w:rsidRPr="0022687A" w:rsidRDefault="00A46014" w:rsidP="00A46014">
      <w:pPr>
        <w:pStyle w:val="ListParagraph"/>
        <w:numPr>
          <w:ilvl w:val="0"/>
          <w:numId w:val="10"/>
        </w:numPr>
        <w:jc w:val="both"/>
        <w:rPr>
          <w:i/>
        </w:rPr>
      </w:pPr>
      <w:r w:rsidRPr="0022687A">
        <w:rPr>
          <w:i/>
        </w:rPr>
        <w:t>Harmonize preservation projects across the Partners and liaise with relevant initiatives from other fields,</w:t>
      </w:r>
    </w:p>
    <w:p w14:paraId="4E2A93B9" w14:textId="77777777" w:rsidR="00A46014" w:rsidRPr="0022687A" w:rsidRDefault="00A46014" w:rsidP="00A46014">
      <w:pPr>
        <w:jc w:val="both"/>
        <w:rPr>
          <w:i/>
        </w:rPr>
      </w:pPr>
    </w:p>
    <w:p w14:paraId="527201B0" w14:textId="77777777" w:rsidR="00A46014" w:rsidRPr="0022687A" w:rsidRDefault="00A46014" w:rsidP="00A46014">
      <w:pPr>
        <w:pStyle w:val="ListParagraph"/>
        <w:numPr>
          <w:ilvl w:val="0"/>
          <w:numId w:val="10"/>
        </w:numPr>
        <w:jc w:val="both"/>
        <w:rPr>
          <w:i/>
        </w:rPr>
      </w:pPr>
      <w:r w:rsidRPr="0022687A">
        <w:rPr>
          <w:i/>
        </w:rPr>
        <w:t>Design the long-term organization of sustainable and economic preservation in HEP,</w:t>
      </w:r>
    </w:p>
    <w:p w14:paraId="7AB7A2D6" w14:textId="77777777" w:rsidR="00A46014" w:rsidRPr="0022687A" w:rsidRDefault="00A46014" w:rsidP="00A46014">
      <w:pPr>
        <w:jc w:val="both"/>
        <w:rPr>
          <w:i/>
        </w:rPr>
      </w:pPr>
    </w:p>
    <w:p w14:paraId="71EEED24" w14:textId="77777777" w:rsidR="00A46014" w:rsidRPr="0022687A" w:rsidRDefault="00A46014" w:rsidP="00A46014">
      <w:pPr>
        <w:pStyle w:val="ListParagraph"/>
        <w:numPr>
          <w:ilvl w:val="0"/>
          <w:numId w:val="10"/>
        </w:numPr>
        <w:jc w:val="both"/>
        <w:rPr>
          <w:i/>
        </w:rPr>
      </w:pPr>
      <w:r w:rsidRPr="0022687A">
        <w:rPr>
          <w:i/>
        </w:rPr>
        <w:t>Outreach within the community and advocacy towards the main stakeholders for the case of preservation in HEP.</w:t>
      </w:r>
    </w:p>
    <w:p w14:paraId="760C7297" w14:textId="77777777" w:rsidR="00A46014" w:rsidRPr="0022687A" w:rsidRDefault="00A46014" w:rsidP="00A46014">
      <w:pPr>
        <w:rPr>
          <w:i/>
        </w:rPr>
      </w:pPr>
    </w:p>
    <w:p w14:paraId="51D3BC6C" w14:textId="710B59E9" w:rsidR="009A4921" w:rsidRDefault="00A46014" w:rsidP="00AF3217">
      <w:pPr>
        <w:pStyle w:val="ListParagraph"/>
        <w:numPr>
          <w:ilvl w:val="1"/>
          <w:numId w:val="9"/>
        </w:numPr>
      </w:pPr>
      <w:r w:rsidRPr="00AF3217">
        <w:rPr>
          <w:i/>
        </w:rPr>
        <w:t>The detailed scientific and technical objectives of the Project shall be described in an Annex to this Collaboration Agreement.</w:t>
      </w:r>
    </w:p>
    <w:p w14:paraId="56F0DAEB" w14:textId="77777777" w:rsidR="00AF3217" w:rsidRDefault="00AF3217" w:rsidP="00AF3217"/>
    <w:p w14:paraId="37F458FB" w14:textId="1697F633" w:rsidR="00AF3217" w:rsidRDefault="00AF3217" w:rsidP="00AF3217">
      <w:r>
        <w:t xml:space="preserve">The ICFA statement (2013) on DPHEP can be found at </w:t>
      </w:r>
      <w:hyperlink r:id="rId70" w:history="1">
        <w:r w:rsidRPr="0074016D">
          <w:rPr>
            <w:rStyle w:val="Hyperlink"/>
          </w:rPr>
          <w:t>http://icfa.fnal.gov/wp-content/uploads/ICFA_Statement_on_DPHEP_wt.pdf</w:t>
        </w:r>
      </w:hyperlink>
      <w:r>
        <w:t xml:space="preserve">. </w:t>
      </w:r>
    </w:p>
    <w:p w14:paraId="741F5A42" w14:textId="77777777" w:rsidR="005C6A96" w:rsidRDefault="005C6A96" w:rsidP="00AF3217"/>
    <w:p w14:paraId="6C18F763" w14:textId="77777777" w:rsidR="005C6A96" w:rsidRDefault="005C6A96">
      <w:pPr>
        <w:rPr>
          <w:rFonts w:asciiTheme="majorHAnsi" w:eastAsiaTheme="majorEastAsia" w:hAnsiTheme="majorHAnsi" w:cstheme="majorBidi"/>
          <w:b/>
          <w:bCs/>
          <w:color w:val="345A8A" w:themeColor="accent1" w:themeShade="B5"/>
          <w:sz w:val="32"/>
          <w:szCs w:val="32"/>
        </w:rPr>
      </w:pPr>
      <w:r>
        <w:br w:type="page"/>
      </w:r>
    </w:p>
    <w:p w14:paraId="6AA1BFCB" w14:textId="5BC6632E" w:rsidR="005C6A96" w:rsidRDefault="005C6A96" w:rsidP="005C6A96">
      <w:pPr>
        <w:pStyle w:val="Heading1"/>
        <w:jc w:val="center"/>
      </w:pPr>
      <w:r>
        <w:lastRenderedPageBreak/>
        <w:t xml:space="preserve">Appendix B – </w:t>
      </w:r>
      <w:r w:rsidRPr="005C6A96">
        <w:t xml:space="preserve">Data Preservation and </w:t>
      </w:r>
      <w:r>
        <w:br/>
      </w:r>
      <w:r w:rsidRPr="005C6A96">
        <w:t>Open Access Infrastructure</w:t>
      </w:r>
    </w:p>
    <w:p w14:paraId="0E964091" w14:textId="77777777" w:rsidR="005C6A96" w:rsidRDefault="005C6A96" w:rsidP="005C6A96"/>
    <w:p w14:paraId="64D7B386" w14:textId="77777777" w:rsidR="005C6A96" w:rsidRDefault="005C6A96" w:rsidP="005C6A96">
      <w:pPr>
        <w:jc w:val="both"/>
      </w:pPr>
      <w:r w:rsidRPr="005C6A96">
        <w:t xml:space="preserve">Since 2009, a Study Group on Data Preservation and Long Term Analysis in High Energy Physics (DPHEP), involving all of the main HEP institutes and experiments worldwide, has been active. In 2012, a Blueprint document was published and a summary of this was input to the update of the European Strategy for Particle Physics. The updated strategy, officially adopted at the 16th European Strategy Session of the CERN Council in Brussels in May 2013, includes data preservation as one of the few computing and infrastructure related items. </w:t>
      </w:r>
    </w:p>
    <w:p w14:paraId="58010688" w14:textId="77777777" w:rsidR="005C6A96" w:rsidRDefault="005C6A96" w:rsidP="005C6A96"/>
    <w:p w14:paraId="3A6479E1" w14:textId="77777777" w:rsidR="005C6A96" w:rsidRDefault="005C6A96" w:rsidP="005C6A96">
      <w:pPr>
        <w:jc w:val="both"/>
      </w:pPr>
      <w:r w:rsidRPr="005C6A96">
        <w:t xml:space="preserve">DPHEP is now moving from being a Study Group to a sustainable Collaboration with a full-time project manager, aimed at coordinating policies and services within HEP and maintaining contacts with other projects and disciplines, identifying common projects and agreeing on cost models and sustainable services. These include “bit preservation”, to be coordinated through a recently established HEPiX working group, costs of curation, in conjunction with the EU FP7 project “4C”, documentation and digital library tools and services (INSPIRE, Invenio etc.) and so forth. </w:t>
      </w:r>
    </w:p>
    <w:p w14:paraId="326F8611" w14:textId="77777777" w:rsidR="005C6A96" w:rsidRDefault="005C6A96" w:rsidP="005C6A96"/>
    <w:p w14:paraId="7B770ED7" w14:textId="4F08FC78" w:rsidR="005C6A96" w:rsidRDefault="005C6A96" w:rsidP="005C6A96">
      <w:pPr>
        <w:jc w:val="both"/>
      </w:pPr>
      <w:r w:rsidRPr="005C6A96">
        <w:t>To proceed further, a workshop will be held to understand data preservation costs within a specific scope, such as preserving the LHC data up until the early analysis phase of a future “precision machine” – expected to correspond to a duration of a small number of decades. In addition to the relatively well-understood areas and related services, such as those described above, it is foreseen that this workshop will highlight areas where (sometimes significant) additional study is required, and to lay the ground for possible projects in these areas. Working in conjunction with the Alliance for Permanent Access (APA) and the Research Data Alliance (RDA) Preservation e</w:t>
      </w:r>
      <w:r>
        <w:t>-</w:t>
      </w:r>
      <w:r w:rsidRPr="005C6A96">
        <w:t xml:space="preserve">Infrastructure Interest Group, the work will be coordinated with other bodies and funding avenues explored. </w:t>
      </w:r>
    </w:p>
    <w:p w14:paraId="7A1BADA1" w14:textId="77777777" w:rsidR="005C6A96" w:rsidRDefault="005C6A96" w:rsidP="005C6A96"/>
    <w:p w14:paraId="12E10190" w14:textId="77777777" w:rsidR="005C6A96" w:rsidRDefault="005C6A96" w:rsidP="005C6A96">
      <w:pPr>
        <w:jc w:val="both"/>
      </w:pPr>
      <w:r w:rsidRPr="005C6A96">
        <w:t xml:space="preserve">To be (cost) effective, long-term data preservation must be fully integrated into the ongoing activities of the experiments and – in the context of WLCG – the project itself. Retaining the full potential of the data over decades is far from trivial, nor guaranteed to succeed, as past experience shows. Some changes in culture / practice may be required to achieve the desired goals effectively, such as designing the software and full offline environment foreseeing regular change, including the necessary validation steps and, if possible, framework. </w:t>
      </w:r>
    </w:p>
    <w:p w14:paraId="3BC0B45E" w14:textId="77777777" w:rsidR="005C6A96" w:rsidRDefault="005C6A96" w:rsidP="005C6A96"/>
    <w:p w14:paraId="6AD44958" w14:textId="77777777" w:rsidR="005C6A96" w:rsidRDefault="005C6A96" w:rsidP="005C6A96">
      <w:r w:rsidRPr="005C6A96">
        <w:t xml:space="preserve">As foreseen in the DPHEP Blueprint, it is expected that common projects will include the use of virtualisation techniques, validation frameworks, collaboration with projects such as RECAST and RIVET, and in particular the on-going work on re-designing / implementing software for concurrency and modern architectures. </w:t>
      </w:r>
    </w:p>
    <w:p w14:paraId="68408B0B" w14:textId="77777777" w:rsidR="005C6A96" w:rsidRDefault="005C6A96" w:rsidP="005C6A96"/>
    <w:p w14:paraId="4A1ECF67" w14:textId="43B2D0E0" w:rsidR="005C6A96" w:rsidRDefault="005C6A96" w:rsidP="005C6A96">
      <w:pPr>
        <w:jc w:val="both"/>
      </w:pPr>
      <w:r w:rsidRPr="005C6A96">
        <w:t xml:space="preserve">Full consensus in all areas – other than those of the basic infrastructure such as that provided for bit preservation – is unlikely. However, the DPHEP Portal should act not only as a gateway to preserved data but also provide access to </w:t>
      </w:r>
      <w:r w:rsidRPr="005C6A96">
        <w:lastRenderedPageBreak/>
        <w:t xml:space="preserve">best practices and tools that can be used by experiments to ensure the long-term usability of their data. These are exactly the same goals as the RDA Interest Group in this area, which aims to provide a “preservation tool-kit” and, where possible, (describe) services. </w:t>
      </w:r>
    </w:p>
    <w:p w14:paraId="130D7377" w14:textId="77777777" w:rsidR="005C6A96" w:rsidRDefault="005C6A96" w:rsidP="005C6A96">
      <w:pPr>
        <w:pStyle w:val="Heading2"/>
      </w:pPr>
      <w:r w:rsidRPr="005C6A96">
        <w:t xml:space="preserve">ALICE </w:t>
      </w:r>
    </w:p>
    <w:p w14:paraId="31667C14" w14:textId="77777777" w:rsidR="005C6A96" w:rsidRDefault="005C6A96" w:rsidP="005C6A96">
      <w:pPr>
        <w:jc w:val="both"/>
      </w:pPr>
    </w:p>
    <w:p w14:paraId="21B95244" w14:textId="6D5C0440" w:rsidR="005C6A96" w:rsidRDefault="005C6A96" w:rsidP="005C6A96">
      <w:pPr>
        <w:jc w:val="both"/>
      </w:pPr>
      <w:r w:rsidRPr="005C6A96">
        <w:t xml:space="preserve">In 2013 the ALICE Collaboration Board has agreed a Data Preservation Strategy document, which is in line with similar documents already drafted by some other experiments and stipulates the principle of open access to the data, software and documentation. The access and processing of data by non-ALICE members will be allowed under the conditions listed in the policy implementation document, which remains to be approved by the Collaboration. </w:t>
      </w:r>
    </w:p>
    <w:p w14:paraId="5247EC62" w14:textId="77777777" w:rsidR="005C6A96" w:rsidRDefault="005C6A96" w:rsidP="005C6A96">
      <w:pPr>
        <w:pStyle w:val="Heading2"/>
      </w:pPr>
      <w:r w:rsidRPr="005C6A96">
        <w:t xml:space="preserve">ATLAS </w:t>
      </w:r>
    </w:p>
    <w:p w14:paraId="5217927F" w14:textId="77777777" w:rsidR="005C6A96" w:rsidRDefault="005C6A96" w:rsidP="005C6A96">
      <w:pPr>
        <w:jc w:val="both"/>
      </w:pPr>
    </w:p>
    <w:p w14:paraId="313B64A5" w14:textId="77777777" w:rsidR="005C6A96" w:rsidRDefault="005C6A96" w:rsidP="005C6A96">
      <w:pPr>
        <w:jc w:val="both"/>
      </w:pPr>
      <w:r w:rsidRPr="005C6A96">
        <w:t xml:space="preserve">It is an increasing obligation of all science projects to put into effect a data management and access policy that extends beyond the confines and lifetime of the experiment. ATLAS has an expected lifetime of decades, but effective long-term preservation requires action be taken early in the design of the data objects and software, such that it will be reusable long after the last collision is recorded. Furthermore, due consideration and effort must be made so that at least some form of the data can, after a reasonable embargo period, be used by non-collaboration members. </w:t>
      </w:r>
    </w:p>
    <w:p w14:paraId="2801B65D" w14:textId="77777777" w:rsidR="005C6A96" w:rsidRDefault="005C6A96" w:rsidP="005C6A96">
      <w:pPr>
        <w:jc w:val="both"/>
      </w:pPr>
    </w:p>
    <w:p w14:paraId="2CFD68FF" w14:textId="127751EA" w:rsidR="005C6A96" w:rsidRDefault="005C6A96" w:rsidP="005C6A96">
      <w:pPr>
        <w:jc w:val="both"/>
      </w:pPr>
      <w:r w:rsidRPr="005C6A96">
        <w:t xml:space="preserve">ATLAS is currently evolving a policy on these matters. The policy must inform the other software and computing efforts, and will require effort over and above the normal </w:t>
      </w:r>
      <w:r>
        <w:t>exploitation of the data.</w:t>
      </w:r>
    </w:p>
    <w:p w14:paraId="64BDE1C7" w14:textId="77777777" w:rsidR="005C6A96" w:rsidRDefault="005C6A96" w:rsidP="005C6A96">
      <w:pPr>
        <w:pStyle w:val="Heading2"/>
      </w:pPr>
      <w:r w:rsidRPr="005C6A96">
        <w:t xml:space="preserve">CMS </w:t>
      </w:r>
    </w:p>
    <w:p w14:paraId="79DC4606" w14:textId="77777777" w:rsidR="005C6A96" w:rsidRDefault="005C6A96" w:rsidP="005C6A96">
      <w:pPr>
        <w:jc w:val="both"/>
      </w:pPr>
    </w:p>
    <w:p w14:paraId="5EA05981" w14:textId="77777777" w:rsidR="005C6A96" w:rsidRDefault="005C6A96" w:rsidP="005C6A96">
      <w:pPr>
        <w:jc w:val="both"/>
      </w:pPr>
      <w:r>
        <w:t xml:space="preserve">CMS has approved a </w:t>
      </w:r>
      <w:r w:rsidRPr="005C6A96">
        <w:t>data preservation</w:t>
      </w:r>
      <w:r>
        <w:t>, re-use and open access policy</w:t>
      </w:r>
      <w:r w:rsidRPr="005C6A96">
        <w:t>, which motivates and defines the CMS approach to the preservation of the data and access to them at various levels of complexity. The implementation of the policy has been elevated to a dedicated project within the collaboration, covering areas from open access at different levels and, analysis knowledge and bit-level preservation. CMS is looking for solutions, which could be usable for the other LHC experiments, and promotes common infrastructures wherever possible. The CMS data policy emphasizes the importance of the possibility of re-use of the CMS data. In parallel to the open access papers, publication of additional numerical data in form in which they can be easily extracted for further use is encouraged, as we</w:t>
      </w:r>
      <w:r>
        <w:t>ll as initiatives such as RIVET</w:t>
      </w:r>
      <w:r w:rsidRPr="005C6A96">
        <w:t xml:space="preserve"> allowing for easy comparison between observed data and Monte Carlo event generators and their validation. For the distribution of these data, CMS relies on digital library services such as INSPIRE and HEPData. </w:t>
      </w:r>
    </w:p>
    <w:p w14:paraId="52331775" w14:textId="77777777" w:rsidR="005C6A96" w:rsidRDefault="005C6A96" w:rsidP="005C6A96">
      <w:pPr>
        <w:jc w:val="both"/>
      </w:pPr>
    </w:p>
    <w:p w14:paraId="0D17C43D" w14:textId="77777777" w:rsidR="005C6A96" w:rsidRDefault="005C6A96" w:rsidP="005C6A96">
      <w:pPr>
        <w:jc w:val="both"/>
      </w:pPr>
      <w:r w:rsidRPr="005C6A96">
        <w:t xml:space="preserve">Going to the level of reconstructed data and its re-use, the experience from the other HEP experiments indicates that the biggest challenge in data preservation is the loss of knowledge and expertise. While CMS, and HEP experiments in general, do very well in recording "immediate" metadata, such as event and run </w:t>
      </w:r>
      <w:r w:rsidRPr="005C6A96">
        <w:lastRenderedPageBreak/>
        <w:t xml:space="preserve">numbers, beam conditions, software versions used in the data reprocessing, we are doing poorly on "context" metadata, i.e. practical information needed to put the data in context and analyze them. Therefore, CMS is actively looking for solutions to enable easy recording this detailed knowledge, readily available at the time of the active physics analysis, but quickly forgotten. </w:t>
      </w:r>
    </w:p>
    <w:p w14:paraId="42383CE9" w14:textId="77777777" w:rsidR="005C6A96" w:rsidRDefault="005C6A96" w:rsidP="005C6A96">
      <w:pPr>
        <w:jc w:val="both"/>
      </w:pPr>
    </w:p>
    <w:p w14:paraId="028580FA" w14:textId="77777777" w:rsidR="005C6A96" w:rsidRDefault="005C6A96" w:rsidP="005C6A96">
      <w:pPr>
        <w:jc w:val="both"/>
      </w:pPr>
      <w:r w:rsidRPr="005C6A96">
        <w:t xml:space="preserve">The Invenio team at CERN, with the input from CMS, will setup a prototype of a tool, which could make recording, and documenting of the relevant details easy. This documentation could be available to the collaboration members only, and only the part of it, which is considered appropriate, could go to public domain. CMS is currently preparing for a public release of part of 2010 collision and simulated data in AOD format. </w:t>
      </w:r>
    </w:p>
    <w:p w14:paraId="79F2EADD" w14:textId="77777777" w:rsidR="005C6A96" w:rsidRDefault="005C6A96" w:rsidP="005C6A96">
      <w:pPr>
        <w:jc w:val="both"/>
      </w:pPr>
    </w:p>
    <w:p w14:paraId="77292B0D" w14:textId="77777777" w:rsidR="005C6A96" w:rsidRDefault="005C6A96" w:rsidP="005C6A96">
      <w:pPr>
        <w:jc w:val="both"/>
      </w:pPr>
      <w:r w:rsidRPr="005C6A96">
        <w:t xml:space="preserve">CMS expect that regular public releases will be made of the data after it has been analyzed by the collaboration. To make things easier for open access users, a virtual machine (VM) image has been prepared, in a format usable by the freely available VirtualBox application. For the access to the data, the initial workflow is kept as close to the standard one as possible, which uses xroot. An xrootd server has been commissioned with anonymous read-only access, further limited by firewall to include only those sites involved in the testing phase. </w:t>
      </w:r>
    </w:p>
    <w:p w14:paraId="2D26AAAE" w14:textId="77777777" w:rsidR="005C6A96" w:rsidRDefault="005C6A96" w:rsidP="005C6A96">
      <w:pPr>
        <w:jc w:val="both"/>
      </w:pPr>
    </w:p>
    <w:p w14:paraId="0FF7342C" w14:textId="77777777" w:rsidR="005C6A96" w:rsidRDefault="005C6A96" w:rsidP="005C6A96">
      <w:pPr>
        <w:jc w:val="both"/>
      </w:pPr>
      <w:r w:rsidRPr="005C6A96">
        <w:t xml:space="preserve">A framework to enable long-term validation of CMS data is being prepared. CMS has powerful tools for validation of software releases and for data quality monitoring. The goal of the long-term validation project is to extract and record the necessary information and tools in order to be able validate the data and software in case of re-use in long-term future. </w:t>
      </w:r>
    </w:p>
    <w:p w14:paraId="26765FC1" w14:textId="77777777" w:rsidR="005C6A96" w:rsidRDefault="005C6A96" w:rsidP="005C6A96">
      <w:pPr>
        <w:jc w:val="both"/>
      </w:pPr>
    </w:p>
    <w:p w14:paraId="0C5989F0" w14:textId="7907C607" w:rsidR="005C6A96" w:rsidRDefault="005C6A96" w:rsidP="005C6A96">
      <w:pPr>
        <w:jc w:val="both"/>
      </w:pPr>
      <w:r w:rsidRPr="005C6A96">
        <w:t>CMS works in collaboration with the CERN IT department to define different tools and services covering the areas and levels of data preservation mentioned above. Discussions on such a service provision are on-going. At the bit-level, while CMS computing model offers a solid base for long-term data preservation, CMS is looking forward to the program of work of the bit-level data preservation working group under the HEPiX forum, where the challenges in this area will be discusse</w:t>
      </w:r>
      <w:r>
        <w:t xml:space="preserve">d in the context of WLCG. </w:t>
      </w:r>
    </w:p>
    <w:p w14:paraId="620D6266" w14:textId="77777777" w:rsidR="005C6A96" w:rsidRDefault="005C6A96" w:rsidP="005C6A96">
      <w:pPr>
        <w:pStyle w:val="Heading2"/>
      </w:pPr>
      <w:r w:rsidRPr="005C6A96">
        <w:t xml:space="preserve">LHCb </w:t>
      </w:r>
    </w:p>
    <w:p w14:paraId="20F884B5" w14:textId="77777777" w:rsidR="005C6A96" w:rsidRDefault="005C6A96" w:rsidP="005C6A96">
      <w:pPr>
        <w:jc w:val="both"/>
      </w:pPr>
    </w:p>
    <w:p w14:paraId="3A44F62D" w14:textId="77777777" w:rsidR="005C6A96" w:rsidRDefault="005C6A96" w:rsidP="005C6A96">
      <w:pPr>
        <w:jc w:val="both"/>
      </w:pPr>
      <w:r w:rsidRPr="005C6A96">
        <w:t xml:space="preserve">LHCb has adopted a policy on data access in 2013. In this LHCb have affirmed their wish to deal with both data preservation, and building on that work, data access. </w:t>
      </w:r>
    </w:p>
    <w:p w14:paraId="0BDBF441" w14:textId="77777777" w:rsidR="005C6A96" w:rsidRDefault="005C6A96" w:rsidP="005C6A96">
      <w:pPr>
        <w:jc w:val="both"/>
      </w:pPr>
    </w:p>
    <w:p w14:paraId="103610C0" w14:textId="77777777" w:rsidR="005C6A96" w:rsidRDefault="005C6A96" w:rsidP="005C6A96">
      <w:pPr>
        <w:jc w:val="both"/>
      </w:pPr>
      <w:r w:rsidRPr="005C6A96">
        <w:t xml:space="preserve">In the first instance LHCb is working towards ensuring that all data can be re-accessed at any time in the future in order to check an analysis or carry out a new analysis. This analysis may include re-reconstructing the RAW data or may use the latest version of the DST data - for example to add a new stripping line. </w:t>
      </w:r>
    </w:p>
    <w:p w14:paraId="34843599" w14:textId="77777777" w:rsidR="005C6A96" w:rsidRDefault="005C6A96" w:rsidP="005C6A96">
      <w:pPr>
        <w:jc w:val="both"/>
      </w:pPr>
    </w:p>
    <w:p w14:paraId="7D11E602" w14:textId="052D4387" w:rsidR="005C6A96" w:rsidRPr="005C6A96" w:rsidRDefault="005C6A96" w:rsidP="005C6A96">
      <w:pPr>
        <w:jc w:val="both"/>
      </w:pPr>
      <w:r w:rsidRPr="005C6A96">
        <w:t xml:space="preserve">The LHCb performance and regression-testing framework will be used to ensure that new releases of the code can successfully read old data. Data recovery procedures will be developed to protect against data corruption and losses. In </w:t>
      </w:r>
      <w:r w:rsidRPr="005C6A96">
        <w:lastRenderedPageBreak/>
        <w:t>addition work is on-going to ensure that MC data sets corresponding to old conditions can be generated. Once this work is complete it is the intention to use this infrastructure to make subsets of the data available, at some point after it was recorded according, to the policy in force.</w:t>
      </w:r>
    </w:p>
    <w:p w14:paraId="71D67BBA" w14:textId="77777777" w:rsidR="005C6A96" w:rsidRPr="00AF3217" w:rsidRDefault="005C6A96" w:rsidP="00AF3217"/>
    <w:sectPr w:rsidR="005C6A96" w:rsidRPr="00AF3217" w:rsidSect="00440722">
      <w:headerReference w:type="default" r:id="rId71"/>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DE58520" w14:textId="77777777" w:rsidR="005C6A96" w:rsidRDefault="005C6A96" w:rsidP="009221EA">
      <w:r>
        <w:separator/>
      </w:r>
    </w:p>
  </w:endnote>
  <w:endnote w:type="continuationSeparator" w:id="0">
    <w:p w14:paraId="470A1DCA" w14:textId="77777777" w:rsidR="005C6A96" w:rsidRDefault="005C6A96" w:rsidP="00922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Times">
    <w:panose1 w:val="02000500000000000000"/>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5EBF75" w14:textId="77777777" w:rsidR="005C6A96" w:rsidRDefault="005C6A96" w:rsidP="009221EA">
      <w:r>
        <w:separator/>
      </w:r>
    </w:p>
  </w:footnote>
  <w:footnote w:type="continuationSeparator" w:id="0">
    <w:p w14:paraId="093C27F9" w14:textId="77777777" w:rsidR="005C6A96" w:rsidRDefault="005C6A96" w:rsidP="009221EA">
      <w:r>
        <w:continuationSeparator/>
      </w:r>
    </w:p>
  </w:footnote>
  <w:footnote w:id="1">
    <w:p w14:paraId="3BAA29A0" w14:textId="3380EA00" w:rsidR="005C6A96" w:rsidRPr="0032672D" w:rsidRDefault="005C6A96">
      <w:pPr>
        <w:pStyle w:val="FootnoteText"/>
      </w:pPr>
      <w:r>
        <w:rPr>
          <w:rStyle w:val="FootnoteReference"/>
        </w:rPr>
        <w:footnoteRef/>
      </w:r>
      <w:r>
        <w:t xml:space="preserve"> Small variations in embargo periods, fractions of data subsequently released and in detailed definitions of their </w:t>
      </w:r>
      <w:r>
        <w:rPr>
          <w:i/>
        </w:rPr>
        <w:t>designated communities</w:t>
      </w:r>
      <w:r>
        <w:t xml:space="preserve"> exist.</w:t>
      </w:r>
    </w:p>
  </w:footnote>
  <w:footnote w:id="2">
    <w:p w14:paraId="71E1E6EC" w14:textId="1CB29773" w:rsidR="005C6A96" w:rsidRDefault="005C6A96">
      <w:pPr>
        <w:pStyle w:val="FootnoteText"/>
      </w:pPr>
      <w:r>
        <w:rPr>
          <w:rStyle w:val="FootnoteReference"/>
        </w:rPr>
        <w:footnoteRef/>
      </w:r>
      <w:r>
        <w:t xml:space="preserve"> i.e. acquire the data through their detectors and through simulations, develop the corresponding software and write the necessary documentation and training material.</w:t>
      </w:r>
    </w:p>
  </w:footnote>
  <w:footnote w:id="3">
    <w:p w14:paraId="003D04FA" w14:textId="35EFC9B1" w:rsidR="005C6A96" w:rsidRPr="007B2666" w:rsidRDefault="005C6A96" w:rsidP="009221EA">
      <w:pPr>
        <w:pStyle w:val="FootnoteText"/>
      </w:pPr>
      <w:r>
        <w:rPr>
          <w:rStyle w:val="FootnoteReference"/>
        </w:rPr>
        <w:footnoteRef/>
      </w:r>
      <w:r>
        <w:t xml:space="preserve"> Additional Use Cases help to define whether the “know-how” has been adequately captured.</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B83C22" w14:textId="67D9F7BD" w:rsidR="005C6A96" w:rsidRPr="00CB43FB" w:rsidRDefault="005C6A96" w:rsidP="00CB43FB">
    <w:pPr>
      <w:pStyle w:val="Header"/>
      <w:jc w:val="right"/>
    </w:pPr>
    <w:r>
      <w:t>Wednesday 20 September 2017</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8B2933"/>
    <w:multiLevelType w:val="hybridMultilevel"/>
    <w:tmpl w:val="E83031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471177"/>
    <w:multiLevelType w:val="hybridMultilevel"/>
    <w:tmpl w:val="4D922F9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E252BBE"/>
    <w:multiLevelType w:val="multilevel"/>
    <w:tmpl w:val="86F28A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EC34D21"/>
    <w:multiLevelType w:val="hybridMultilevel"/>
    <w:tmpl w:val="A5AAFA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8B55D15"/>
    <w:multiLevelType w:val="hybridMultilevel"/>
    <w:tmpl w:val="78A27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FDE1AE5"/>
    <w:multiLevelType w:val="hybridMultilevel"/>
    <w:tmpl w:val="0D0E4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11A6B9D"/>
    <w:multiLevelType w:val="multilevel"/>
    <w:tmpl w:val="66E6DAA6"/>
    <w:lvl w:ilvl="0">
      <w:start w:val="1"/>
      <w:numFmt w:val="decimal"/>
      <w:lvlText w:val="%1."/>
      <w:lvlJc w:val="left"/>
      <w:pPr>
        <w:ind w:left="360" w:hanging="360"/>
      </w:pPr>
    </w:lvl>
    <w:lvl w:ilvl="1">
      <w:start w:val="3"/>
      <w:numFmt w:val="decimal"/>
      <w:isLgl/>
      <w:lvlText w:val="%1.%2"/>
      <w:lvlJc w:val="left"/>
      <w:pPr>
        <w:ind w:left="540" w:hanging="54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nsid w:val="3736489E"/>
    <w:multiLevelType w:val="hybridMultilevel"/>
    <w:tmpl w:val="256E4D9A"/>
    <w:lvl w:ilvl="0" w:tplc="677C65FE">
      <w:start w:val="1"/>
      <w:numFmt w:val="bullet"/>
      <w:lvlText w:val="-"/>
      <w:lvlJc w:val="left"/>
      <w:pPr>
        <w:tabs>
          <w:tab w:val="num" w:pos="360"/>
        </w:tabs>
        <w:ind w:left="360" w:hanging="360"/>
      </w:pPr>
      <w:rPr>
        <w:rFonts w:ascii="Times New Roman" w:hAnsi="Times New Roman" w:hint="default"/>
      </w:rPr>
    </w:lvl>
    <w:lvl w:ilvl="1" w:tplc="1D4E8D4C">
      <w:numFmt w:val="bullet"/>
      <w:lvlText w:val="-"/>
      <w:lvlJc w:val="left"/>
      <w:pPr>
        <w:tabs>
          <w:tab w:val="num" w:pos="1080"/>
        </w:tabs>
        <w:ind w:left="1080" w:hanging="360"/>
      </w:pPr>
      <w:rPr>
        <w:rFonts w:ascii="Times New Roman" w:hAnsi="Times New Roman" w:hint="default"/>
      </w:rPr>
    </w:lvl>
    <w:lvl w:ilvl="2" w:tplc="1E3076A4" w:tentative="1">
      <w:start w:val="1"/>
      <w:numFmt w:val="bullet"/>
      <w:lvlText w:val="-"/>
      <w:lvlJc w:val="left"/>
      <w:pPr>
        <w:tabs>
          <w:tab w:val="num" w:pos="1800"/>
        </w:tabs>
        <w:ind w:left="1800" w:hanging="360"/>
      </w:pPr>
      <w:rPr>
        <w:rFonts w:ascii="Times New Roman" w:hAnsi="Times New Roman" w:hint="default"/>
      </w:rPr>
    </w:lvl>
    <w:lvl w:ilvl="3" w:tplc="0F0CBE6C" w:tentative="1">
      <w:start w:val="1"/>
      <w:numFmt w:val="bullet"/>
      <w:lvlText w:val="-"/>
      <w:lvlJc w:val="left"/>
      <w:pPr>
        <w:tabs>
          <w:tab w:val="num" w:pos="2520"/>
        </w:tabs>
        <w:ind w:left="2520" w:hanging="360"/>
      </w:pPr>
      <w:rPr>
        <w:rFonts w:ascii="Times New Roman" w:hAnsi="Times New Roman" w:hint="default"/>
      </w:rPr>
    </w:lvl>
    <w:lvl w:ilvl="4" w:tplc="E458BC22" w:tentative="1">
      <w:start w:val="1"/>
      <w:numFmt w:val="bullet"/>
      <w:lvlText w:val="-"/>
      <w:lvlJc w:val="left"/>
      <w:pPr>
        <w:tabs>
          <w:tab w:val="num" w:pos="3240"/>
        </w:tabs>
        <w:ind w:left="3240" w:hanging="360"/>
      </w:pPr>
      <w:rPr>
        <w:rFonts w:ascii="Times New Roman" w:hAnsi="Times New Roman" w:hint="default"/>
      </w:rPr>
    </w:lvl>
    <w:lvl w:ilvl="5" w:tplc="D3A4EA08" w:tentative="1">
      <w:start w:val="1"/>
      <w:numFmt w:val="bullet"/>
      <w:lvlText w:val="-"/>
      <w:lvlJc w:val="left"/>
      <w:pPr>
        <w:tabs>
          <w:tab w:val="num" w:pos="3960"/>
        </w:tabs>
        <w:ind w:left="3960" w:hanging="360"/>
      </w:pPr>
      <w:rPr>
        <w:rFonts w:ascii="Times New Roman" w:hAnsi="Times New Roman" w:hint="default"/>
      </w:rPr>
    </w:lvl>
    <w:lvl w:ilvl="6" w:tplc="BF2EC762" w:tentative="1">
      <w:start w:val="1"/>
      <w:numFmt w:val="bullet"/>
      <w:lvlText w:val="-"/>
      <w:lvlJc w:val="left"/>
      <w:pPr>
        <w:tabs>
          <w:tab w:val="num" w:pos="4680"/>
        </w:tabs>
        <w:ind w:left="4680" w:hanging="360"/>
      </w:pPr>
      <w:rPr>
        <w:rFonts w:ascii="Times New Roman" w:hAnsi="Times New Roman" w:hint="default"/>
      </w:rPr>
    </w:lvl>
    <w:lvl w:ilvl="7" w:tplc="971478D8" w:tentative="1">
      <w:start w:val="1"/>
      <w:numFmt w:val="bullet"/>
      <w:lvlText w:val="-"/>
      <w:lvlJc w:val="left"/>
      <w:pPr>
        <w:tabs>
          <w:tab w:val="num" w:pos="5400"/>
        </w:tabs>
        <w:ind w:left="5400" w:hanging="360"/>
      </w:pPr>
      <w:rPr>
        <w:rFonts w:ascii="Times New Roman" w:hAnsi="Times New Roman" w:hint="default"/>
      </w:rPr>
    </w:lvl>
    <w:lvl w:ilvl="8" w:tplc="883C00D0" w:tentative="1">
      <w:start w:val="1"/>
      <w:numFmt w:val="bullet"/>
      <w:lvlText w:val="-"/>
      <w:lvlJc w:val="left"/>
      <w:pPr>
        <w:tabs>
          <w:tab w:val="num" w:pos="6120"/>
        </w:tabs>
        <w:ind w:left="6120" w:hanging="360"/>
      </w:pPr>
      <w:rPr>
        <w:rFonts w:ascii="Times New Roman" w:hAnsi="Times New Roman" w:hint="default"/>
      </w:rPr>
    </w:lvl>
  </w:abstractNum>
  <w:abstractNum w:abstractNumId="8">
    <w:nsid w:val="3D645543"/>
    <w:multiLevelType w:val="hybridMultilevel"/>
    <w:tmpl w:val="5CA826FA"/>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9">
    <w:nsid w:val="421D1DD8"/>
    <w:multiLevelType w:val="hybridMultilevel"/>
    <w:tmpl w:val="3F5AE0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A904F7"/>
    <w:multiLevelType w:val="hybridMultilevel"/>
    <w:tmpl w:val="381870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87E26FD"/>
    <w:multiLevelType w:val="multilevel"/>
    <w:tmpl w:val="F92E0D18"/>
    <w:lvl w:ilvl="0">
      <w:start w:val="1"/>
      <w:numFmt w:val="bullet"/>
      <w:lvlText w:val="o"/>
      <w:lvlJc w:val="left"/>
      <w:pPr>
        <w:tabs>
          <w:tab w:val="num" w:pos="360"/>
        </w:tabs>
        <w:ind w:left="360" w:hanging="360"/>
      </w:pPr>
      <w:rPr>
        <w:rFonts w:ascii="Courier New" w:hAnsi="Courier New"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o"/>
      <w:lvlJc w:val="left"/>
      <w:pPr>
        <w:tabs>
          <w:tab w:val="num" w:pos="1800"/>
        </w:tabs>
        <w:ind w:left="1800" w:hanging="360"/>
      </w:pPr>
      <w:rPr>
        <w:rFonts w:ascii="Courier New" w:hAnsi="Courier New" w:hint="default"/>
        <w:sz w:val="20"/>
      </w:rPr>
    </w:lvl>
    <w:lvl w:ilvl="3" w:tentative="1">
      <w:start w:val="1"/>
      <w:numFmt w:val="bullet"/>
      <w:lvlText w:val="o"/>
      <w:lvlJc w:val="left"/>
      <w:pPr>
        <w:tabs>
          <w:tab w:val="num" w:pos="2520"/>
        </w:tabs>
        <w:ind w:left="2520" w:hanging="360"/>
      </w:pPr>
      <w:rPr>
        <w:rFonts w:ascii="Courier New" w:hAnsi="Courier New" w:hint="default"/>
        <w:sz w:val="20"/>
      </w:rPr>
    </w:lvl>
    <w:lvl w:ilvl="4" w:tentative="1">
      <w:start w:val="1"/>
      <w:numFmt w:val="bullet"/>
      <w:lvlText w:val="o"/>
      <w:lvlJc w:val="left"/>
      <w:pPr>
        <w:tabs>
          <w:tab w:val="num" w:pos="3240"/>
        </w:tabs>
        <w:ind w:left="3240" w:hanging="360"/>
      </w:pPr>
      <w:rPr>
        <w:rFonts w:ascii="Courier New" w:hAnsi="Courier New" w:hint="default"/>
        <w:sz w:val="20"/>
      </w:rPr>
    </w:lvl>
    <w:lvl w:ilvl="5" w:tentative="1">
      <w:start w:val="1"/>
      <w:numFmt w:val="bullet"/>
      <w:lvlText w:val="o"/>
      <w:lvlJc w:val="left"/>
      <w:pPr>
        <w:tabs>
          <w:tab w:val="num" w:pos="3960"/>
        </w:tabs>
        <w:ind w:left="3960" w:hanging="360"/>
      </w:pPr>
      <w:rPr>
        <w:rFonts w:ascii="Courier New" w:hAnsi="Courier New" w:hint="default"/>
        <w:sz w:val="20"/>
      </w:rPr>
    </w:lvl>
    <w:lvl w:ilvl="6" w:tentative="1">
      <w:start w:val="1"/>
      <w:numFmt w:val="bullet"/>
      <w:lvlText w:val="o"/>
      <w:lvlJc w:val="left"/>
      <w:pPr>
        <w:tabs>
          <w:tab w:val="num" w:pos="4680"/>
        </w:tabs>
        <w:ind w:left="4680" w:hanging="360"/>
      </w:pPr>
      <w:rPr>
        <w:rFonts w:ascii="Courier New" w:hAnsi="Courier New" w:hint="default"/>
        <w:sz w:val="20"/>
      </w:rPr>
    </w:lvl>
    <w:lvl w:ilvl="7" w:tentative="1">
      <w:start w:val="1"/>
      <w:numFmt w:val="bullet"/>
      <w:lvlText w:val="o"/>
      <w:lvlJc w:val="left"/>
      <w:pPr>
        <w:tabs>
          <w:tab w:val="num" w:pos="5400"/>
        </w:tabs>
        <w:ind w:left="5400" w:hanging="360"/>
      </w:pPr>
      <w:rPr>
        <w:rFonts w:ascii="Courier New" w:hAnsi="Courier New" w:hint="default"/>
        <w:sz w:val="20"/>
      </w:rPr>
    </w:lvl>
    <w:lvl w:ilvl="8" w:tentative="1">
      <w:start w:val="1"/>
      <w:numFmt w:val="bullet"/>
      <w:lvlText w:val="o"/>
      <w:lvlJc w:val="left"/>
      <w:pPr>
        <w:tabs>
          <w:tab w:val="num" w:pos="6120"/>
        </w:tabs>
        <w:ind w:left="6120" w:hanging="360"/>
      </w:pPr>
      <w:rPr>
        <w:rFonts w:ascii="Courier New" w:hAnsi="Courier New" w:hint="default"/>
        <w:sz w:val="20"/>
      </w:rPr>
    </w:lvl>
  </w:abstractNum>
  <w:abstractNum w:abstractNumId="12">
    <w:nsid w:val="64927EA1"/>
    <w:multiLevelType w:val="multilevel"/>
    <w:tmpl w:val="678CDCB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nsid w:val="65E547EC"/>
    <w:multiLevelType w:val="hybridMultilevel"/>
    <w:tmpl w:val="C91E2670"/>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7CF483A"/>
    <w:multiLevelType w:val="hybridMultilevel"/>
    <w:tmpl w:val="1E0C347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990BEF"/>
    <w:multiLevelType w:val="hybridMultilevel"/>
    <w:tmpl w:val="096E45C6"/>
    <w:lvl w:ilvl="0" w:tplc="04090013">
      <w:start w:val="1"/>
      <w:numFmt w:val="upperRoman"/>
      <w:lvlText w:val="%1."/>
      <w:lvlJc w:val="right"/>
      <w:pPr>
        <w:ind w:left="776"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16">
    <w:nsid w:val="76C668C4"/>
    <w:multiLevelType w:val="hybridMultilevel"/>
    <w:tmpl w:val="D026FB7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76810FB"/>
    <w:multiLevelType w:val="hybridMultilevel"/>
    <w:tmpl w:val="B854EA3A"/>
    <w:lvl w:ilvl="0" w:tplc="0409000F">
      <w:start w:val="1"/>
      <w:numFmt w:val="decimal"/>
      <w:lvlText w:val="%1."/>
      <w:lvlJc w:val="left"/>
      <w:pPr>
        <w:ind w:left="360" w:hanging="360"/>
      </w:pPr>
    </w:lvl>
    <w:lvl w:ilvl="1" w:tplc="BB2E501C">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7A85071E"/>
    <w:multiLevelType w:val="multilevel"/>
    <w:tmpl w:val="B70841D8"/>
    <w:lvl w:ilvl="0">
      <w:start w:val="1"/>
      <w:numFmt w:val="decimal"/>
      <w:lvlText w:val="%1."/>
      <w:lvlJc w:val="left"/>
      <w:pPr>
        <w:ind w:left="720" w:hanging="360"/>
      </w:pPr>
    </w:lvl>
    <w:lvl w:ilvl="1">
      <w:start w:val="2"/>
      <w:numFmt w:val="decimal"/>
      <w:isLgl/>
      <w:lvlText w:val="%1.%2"/>
      <w:lvlJc w:val="left"/>
      <w:pPr>
        <w:ind w:left="720" w:hanging="360"/>
      </w:pPr>
      <w:rPr>
        <w:rFonts w:hint="default"/>
        <w:i/>
      </w:rPr>
    </w:lvl>
    <w:lvl w:ilvl="2">
      <w:start w:val="1"/>
      <w:numFmt w:val="decimal"/>
      <w:isLgl/>
      <w:lvlText w:val="%1.%2.%3"/>
      <w:lvlJc w:val="left"/>
      <w:pPr>
        <w:ind w:left="1080" w:hanging="720"/>
      </w:pPr>
      <w:rPr>
        <w:rFonts w:hint="default"/>
        <w:i/>
      </w:rPr>
    </w:lvl>
    <w:lvl w:ilvl="3">
      <w:start w:val="1"/>
      <w:numFmt w:val="decimal"/>
      <w:isLgl/>
      <w:lvlText w:val="%1.%2.%3.%4"/>
      <w:lvlJc w:val="left"/>
      <w:pPr>
        <w:ind w:left="1440" w:hanging="1080"/>
      </w:pPr>
      <w:rPr>
        <w:rFonts w:hint="default"/>
        <w:i/>
      </w:rPr>
    </w:lvl>
    <w:lvl w:ilvl="4">
      <w:start w:val="1"/>
      <w:numFmt w:val="decimal"/>
      <w:isLgl/>
      <w:lvlText w:val="%1.%2.%3.%4.%5"/>
      <w:lvlJc w:val="left"/>
      <w:pPr>
        <w:ind w:left="1440" w:hanging="1080"/>
      </w:pPr>
      <w:rPr>
        <w:rFonts w:hint="default"/>
        <w:i/>
      </w:rPr>
    </w:lvl>
    <w:lvl w:ilvl="5">
      <w:start w:val="1"/>
      <w:numFmt w:val="decimal"/>
      <w:isLgl/>
      <w:lvlText w:val="%1.%2.%3.%4.%5.%6"/>
      <w:lvlJc w:val="left"/>
      <w:pPr>
        <w:ind w:left="1800" w:hanging="1440"/>
      </w:pPr>
      <w:rPr>
        <w:rFonts w:hint="default"/>
        <w:i/>
      </w:rPr>
    </w:lvl>
    <w:lvl w:ilvl="6">
      <w:start w:val="1"/>
      <w:numFmt w:val="decimal"/>
      <w:isLgl/>
      <w:lvlText w:val="%1.%2.%3.%4.%5.%6.%7"/>
      <w:lvlJc w:val="left"/>
      <w:pPr>
        <w:ind w:left="1800" w:hanging="1440"/>
      </w:pPr>
      <w:rPr>
        <w:rFonts w:hint="default"/>
        <w:i/>
      </w:rPr>
    </w:lvl>
    <w:lvl w:ilvl="7">
      <w:start w:val="1"/>
      <w:numFmt w:val="decimal"/>
      <w:isLgl/>
      <w:lvlText w:val="%1.%2.%3.%4.%5.%6.%7.%8"/>
      <w:lvlJc w:val="left"/>
      <w:pPr>
        <w:ind w:left="2160" w:hanging="1800"/>
      </w:pPr>
      <w:rPr>
        <w:rFonts w:hint="default"/>
        <w:i/>
      </w:rPr>
    </w:lvl>
    <w:lvl w:ilvl="8">
      <w:start w:val="1"/>
      <w:numFmt w:val="decimal"/>
      <w:isLgl/>
      <w:lvlText w:val="%1.%2.%3.%4.%5.%6.%7.%8.%9"/>
      <w:lvlJc w:val="left"/>
      <w:pPr>
        <w:ind w:left="2160" w:hanging="1800"/>
      </w:pPr>
      <w:rPr>
        <w:rFonts w:hint="default"/>
        <w:i/>
      </w:rPr>
    </w:lvl>
  </w:abstractNum>
  <w:abstractNum w:abstractNumId="19">
    <w:nsid w:val="7EEA2811"/>
    <w:multiLevelType w:val="hybridMultilevel"/>
    <w:tmpl w:val="B5449E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nsid w:val="7FC80098"/>
    <w:multiLevelType w:val="hybridMultilevel"/>
    <w:tmpl w:val="FF142C5C"/>
    <w:lvl w:ilvl="0" w:tplc="15A4B8E8">
      <w:start w:val="1"/>
      <w:numFmt w:val="bullet"/>
      <w:lvlText w:val="–"/>
      <w:lvlJc w:val="left"/>
      <w:pPr>
        <w:tabs>
          <w:tab w:val="num" w:pos="360"/>
        </w:tabs>
        <w:ind w:left="360" w:hanging="360"/>
      </w:pPr>
      <w:rPr>
        <w:rFonts w:ascii="Arial" w:hAnsi="Arial" w:hint="default"/>
      </w:rPr>
    </w:lvl>
    <w:lvl w:ilvl="1" w:tplc="13A61A72">
      <w:start w:val="1"/>
      <w:numFmt w:val="bullet"/>
      <w:lvlText w:val="–"/>
      <w:lvlJc w:val="left"/>
      <w:pPr>
        <w:tabs>
          <w:tab w:val="num" w:pos="1080"/>
        </w:tabs>
        <w:ind w:left="1080" w:hanging="360"/>
      </w:pPr>
      <w:rPr>
        <w:rFonts w:ascii="Arial" w:hAnsi="Arial" w:hint="default"/>
      </w:rPr>
    </w:lvl>
    <w:lvl w:ilvl="2" w:tplc="F6A48210" w:tentative="1">
      <w:start w:val="1"/>
      <w:numFmt w:val="bullet"/>
      <w:lvlText w:val="–"/>
      <w:lvlJc w:val="left"/>
      <w:pPr>
        <w:tabs>
          <w:tab w:val="num" w:pos="1800"/>
        </w:tabs>
        <w:ind w:left="1800" w:hanging="360"/>
      </w:pPr>
      <w:rPr>
        <w:rFonts w:ascii="Arial" w:hAnsi="Arial" w:hint="default"/>
      </w:rPr>
    </w:lvl>
    <w:lvl w:ilvl="3" w:tplc="041628B8" w:tentative="1">
      <w:start w:val="1"/>
      <w:numFmt w:val="bullet"/>
      <w:lvlText w:val="–"/>
      <w:lvlJc w:val="left"/>
      <w:pPr>
        <w:tabs>
          <w:tab w:val="num" w:pos="2520"/>
        </w:tabs>
        <w:ind w:left="2520" w:hanging="360"/>
      </w:pPr>
      <w:rPr>
        <w:rFonts w:ascii="Arial" w:hAnsi="Arial" w:hint="default"/>
      </w:rPr>
    </w:lvl>
    <w:lvl w:ilvl="4" w:tplc="9182C4CC" w:tentative="1">
      <w:start w:val="1"/>
      <w:numFmt w:val="bullet"/>
      <w:lvlText w:val="–"/>
      <w:lvlJc w:val="left"/>
      <w:pPr>
        <w:tabs>
          <w:tab w:val="num" w:pos="3240"/>
        </w:tabs>
        <w:ind w:left="3240" w:hanging="360"/>
      </w:pPr>
      <w:rPr>
        <w:rFonts w:ascii="Arial" w:hAnsi="Arial" w:hint="default"/>
      </w:rPr>
    </w:lvl>
    <w:lvl w:ilvl="5" w:tplc="70FE3624" w:tentative="1">
      <w:start w:val="1"/>
      <w:numFmt w:val="bullet"/>
      <w:lvlText w:val="–"/>
      <w:lvlJc w:val="left"/>
      <w:pPr>
        <w:tabs>
          <w:tab w:val="num" w:pos="3960"/>
        </w:tabs>
        <w:ind w:left="3960" w:hanging="360"/>
      </w:pPr>
      <w:rPr>
        <w:rFonts w:ascii="Arial" w:hAnsi="Arial" w:hint="default"/>
      </w:rPr>
    </w:lvl>
    <w:lvl w:ilvl="6" w:tplc="69289014" w:tentative="1">
      <w:start w:val="1"/>
      <w:numFmt w:val="bullet"/>
      <w:lvlText w:val="–"/>
      <w:lvlJc w:val="left"/>
      <w:pPr>
        <w:tabs>
          <w:tab w:val="num" w:pos="4680"/>
        </w:tabs>
        <w:ind w:left="4680" w:hanging="360"/>
      </w:pPr>
      <w:rPr>
        <w:rFonts w:ascii="Arial" w:hAnsi="Arial" w:hint="default"/>
      </w:rPr>
    </w:lvl>
    <w:lvl w:ilvl="7" w:tplc="F2BEF47C" w:tentative="1">
      <w:start w:val="1"/>
      <w:numFmt w:val="bullet"/>
      <w:lvlText w:val="–"/>
      <w:lvlJc w:val="left"/>
      <w:pPr>
        <w:tabs>
          <w:tab w:val="num" w:pos="5400"/>
        </w:tabs>
        <w:ind w:left="5400" w:hanging="360"/>
      </w:pPr>
      <w:rPr>
        <w:rFonts w:ascii="Arial" w:hAnsi="Arial" w:hint="default"/>
      </w:rPr>
    </w:lvl>
    <w:lvl w:ilvl="8" w:tplc="F5426C2A" w:tentative="1">
      <w:start w:val="1"/>
      <w:numFmt w:val="bullet"/>
      <w:lvlText w:val="–"/>
      <w:lvlJc w:val="left"/>
      <w:pPr>
        <w:tabs>
          <w:tab w:val="num" w:pos="6120"/>
        </w:tabs>
        <w:ind w:left="6120" w:hanging="360"/>
      </w:pPr>
      <w:rPr>
        <w:rFonts w:ascii="Arial" w:hAnsi="Arial" w:hint="default"/>
      </w:rPr>
    </w:lvl>
  </w:abstractNum>
  <w:num w:numId="1">
    <w:abstractNumId w:val="7"/>
  </w:num>
  <w:num w:numId="2">
    <w:abstractNumId w:val="0"/>
  </w:num>
  <w:num w:numId="3">
    <w:abstractNumId w:val="17"/>
  </w:num>
  <w:num w:numId="4">
    <w:abstractNumId w:val="3"/>
  </w:num>
  <w:num w:numId="5">
    <w:abstractNumId w:val="14"/>
  </w:num>
  <w:num w:numId="6">
    <w:abstractNumId w:val="15"/>
  </w:num>
  <w:num w:numId="7">
    <w:abstractNumId w:val="6"/>
  </w:num>
  <w:num w:numId="8">
    <w:abstractNumId w:val="20"/>
  </w:num>
  <w:num w:numId="9">
    <w:abstractNumId w:val="18"/>
  </w:num>
  <w:num w:numId="10">
    <w:abstractNumId w:val="16"/>
  </w:num>
  <w:num w:numId="11">
    <w:abstractNumId w:val="1"/>
  </w:num>
  <w:num w:numId="12">
    <w:abstractNumId w:val="5"/>
  </w:num>
  <w:num w:numId="13">
    <w:abstractNumId w:val="13"/>
  </w:num>
  <w:num w:numId="14">
    <w:abstractNumId w:val="19"/>
  </w:num>
  <w:num w:numId="15">
    <w:abstractNumId w:val="8"/>
  </w:num>
  <w:num w:numId="16">
    <w:abstractNumId w:val="9"/>
  </w:num>
  <w:num w:numId="17">
    <w:abstractNumId w:val="2"/>
  </w:num>
  <w:num w:numId="18">
    <w:abstractNumId w:val="10"/>
  </w:num>
  <w:num w:numId="19">
    <w:abstractNumId w:val="4"/>
  </w:num>
  <w:num w:numId="20">
    <w:abstractNumId w:val="11"/>
  </w:num>
  <w:num w:numId="21">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asia Pokorska">
    <w15:presenceInfo w15:providerId="AD" w15:userId="S-1-5-21-1526224874-1540688658-1361462980-1145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3"/>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C51"/>
    <w:rsid w:val="00001EEA"/>
    <w:rsid w:val="0001598C"/>
    <w:rsid w:val="00051519"/>
    <w:rsid w:val="00054473"/>
    <w:rsid w:val="00067503"/>
    <w:rsid w:val="000C0855"/>
    <w:rsid w:val="000D2850"/>
    <w:rsid w:val="00153029"/>
    <w:rsid w:val="001E632D"/>
    <w:rsid w:val="0022687A"/>
    <w:rsid w:val="002270F2"/>
    <w:rsid w:val="00236991"/>
    <w:rsid w:val="00251184"/>
    <w:rsid w:val="0027588F"/>
    <w:rsid w:val="00277208"/>
    <w:rsid w:val="0032672D"/>
    <w:rsid w:val="0034288B"/>
    <w:rsid w:val="00343AE4"/>
    <w:rsid w:val="0035236F"/>
    <w:rsid w:val="003555F6"/>
    <w:rsid w:val="00384DE8"/>
    <w:rsid w:val="00391D6F"/>
    <w:rsid w:val="003B3C32"/>
    <w:rsid w:val="003D7495"/>
    <w:rsid w:val="00440722"/>
    <w:rsid w:val="00453F00"/>
    <w:rsid w:val="0048352B"/>
    <w:rsid w:val="004922DE"/>
    <w:rsid w:val="004C072D"/>
    <w:rsid w:val="004E4510"/>
    <w:rsid w:val="004F791F"/>
    <w:rsid w:val="00505D53"/>
    <w:rsid w:val="00506D3E"/>
    <w:rsid w:val="00514892"/>
    <w:rsid w:val="00516D94"/>
    <w:rsid w:val="00525C2C"/>
    <w:rsid w:val="00531EA5"/>
    <w:rsid w:val="00567E93"/>
    <w:rsid w:val="005716BA"/>
    <w:rsid w:val="005A36FC"/>
    <w:rsid w:val="005A4080"/>
    <w:rsid w:val="005A4CDE"/>
    <w:rsid w:val="005A7428"/>
    <w:rsid w:val="005B13D3"/>
    <w:rsid w:val="005C6A96"/>
    <w:rsid w:val="005E3116"/>
    <w:rsid w:val="005F5F8D"/>
    <w:rsid w:val="005F7956"/>
    <w:rsid w:val="006326AE"/>
    <w:rsid w:val="00673AFF"/>
    <w:rsid w:val="00687F2B"/>
    <w:rsid w:val="0069474A"/>
    <w:rsid w:val="006B02DA"/>
    <w:rsid w:val="006D6B8B"/>
    <w:rsid w:val="006D78D1"/>
    <w:rsid w:val="006F119E"/>
    <w:rsid w:val="007234D0"/>
    <w:rsid w:val="00723B81"/>
    <w:rsid w:val="007267B9"/>
    <w:rsid w:val="007403F7"/>
    <w:rsid w:val="00744281"/>
    <w:rsid w:val="00753F51"/>
    <w:rsid w:val="007B4D16"/>
    <w:rsid w:val="007C74F3"/>
    <w:rsid w:val="007E6CAE"/>
    <w:rsid w:val="0080456A"/>
    <w:rsid w:val="00812FB5"/>
    <w:rsid w:val="008259D9"/>
    <w:rsid w:val="00860C0C"/>
    <w:rsid w:val="0086531B"/>
    <w:rsid w:val="00865B66"/>
    <w:rsid w:val="00866591"/>
    <w:rsid w:val="008B0C51"/>
    <w:rsid w:val="009221EA"/>
    <w:rsid w:val="00926961"/>
    <w:rsid w:val="00943901"/>
    <w:rsid w:val="00950B60"/>
    <w:rsid w:val="00962AA5"/>
    <w:rsid w:val="009648C3"/>
    <w:rsid w:val="009A4921"/>
    <w:rsid w:val="00A23587"/>
    <w:rsid w:val="00A46014"/>
    <w:rsid w:val="00A55B39"/>
    <w:rsid w:val="00A61E69"/>
    <w:rsid w:val="00A62FD3"/>
    <w:rsid w:val="00AC5E50"/>
    <w:rsid w:val="00AF3217"/>
    <w:rsid w:val="00B23ED0"/>
    <w:rsid w:val="00B90D46"/>
    <w:rsid w:val="00BA766C"/>
    <w:rsid w:val="00BB6CBE"/>
    <w:rsid w:val="00BD2407"/>
    <w:rsid w:val="00BD2F3A"/>
    <w:rsid w:val="00BF6AD2"/>
    <w:rsid w:val="00C2493E"/>
    <w:rsid w:val="00C3008A"/>
    <w:rsid w:val="00C31823"/>
    <w:rsid w:val="00C552E0"/>
    <w:rsid w:val="00C75D4B"/>
    <w:rsid w:val="00CB43FB"/>
    <w:rsid w:val="00CC0395"/>
    <w:rsid w:val="00CD00E0"/>
    <w:rsid w:val="00D10796"/>
    <w:rsid w:val="00D1253C"/>
    <w:rsid w:val="00D23311"/>
    <w:rsid w:val="00D7162B"/>
    <w:rsid w:val="00D746DD"/>
    <w:rsid w:val="00DC7194"/>
    <w:rsid w:val="00E04BC8"/>
    <w:rsid w:val="00E133AC"/>
    <w:rsid w:val="00E1356D"/>
    <w:rsid w:val="00E72E08"/>
    <w:rsid w:val="00E86619"/>
    <w:rsid w:val="00E9569E"/>
    <w:rsid w:val="00EC239F"/>
    <w:rsid w:val="00ED5AB2"/>
    <w:rsid w:val="00F149B7"/>
    <w:rsid w:val="00F17642"/>
    <w:rsid w:val="00F24852"/>
    <w:rsid w:val="00FC3C1B"/>
    <w:rsid w:val="00FD3EE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A2D3DDE"/>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B0C5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B0C5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B0C51"/>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23B8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E6CAE"/>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C5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8B0C5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B0C5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23B81"/>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7E6CAE"/>
    <w:rPr>
      <w:color w:val="0000FF" w:themeColor="hyperlink"/>
      <w:u w:val="single"/>
    </w:rPr>
  </w:style>
  <w:style w:type="character" w:customStyle="1" w:styleId="Heading5Char">
    <w:name w:val="Heading 5 Char"/>
    <w:basedOn w:val="DefaultParagraphFont"/>
    <w:link w:val="Heading5"/>
    <w:uiPriority w:val="9"/>
    <w:rsid w:val="007E6CAE"/>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E1356D"/>
    <w:pPr>
      <w:ind w:left="720"/>
      <w:contextualSpacing/>
    </w:pPr>
    <w:rPr>
      <w:rFonts w:ascii="Times New Roman" w:eastAsia="Times New Roman" w:hAnsi="Times New Roman" w:cs="Times New Roman"/>
    </w:rPr>
  </w:style>
  <w:style w:type="paragraph" w:customStyle="1" w:styleId="BodyChar">
    <w:name w:val="Body Char"/>
    <w:link w:val="BodyCharChar"/>
    <w:rsid w:val="00673AFF"/>
    <w:pPr>
      <w:tabs>
        <w:tab w:val="left" w:pos="567"/>
      </w:tabs>
      <w:jc w:val="both"/>
    </w:pPr>
    <w:rPr>
      <w:rFonts w:ascii="Times" w:eastAsia="Times New Roman" w:hAnsi="Times" w:cs="Times New Roman"/>
      <w:color w:val="000000"/>
      <w:sz w:val="22"/>
      <w:szCs w:val="22"/>
      <w:lang w:val="en-GB"/>
    </w:rPr>
  </w:style>
  <w:style w:type="character" w:customStyle="1" w:styleId="BodyCharChar">
    <w:name w:val="Body Char Char"/>
    <w:link w:val="BodyChar"/>
    <w:rsid w:val="00673AFF"/>
    <w:rPr>
      <w:rFonts w:ascii="Times" w:eastAsia="Times New Roman" w:hAnsi="Times" w:cs="Times New Roman"/>
      <w:color w:val="000000"/>
      <w:sz w:val="22"/>
      <w:szCs w:val="22"/>
      <w:lang w:val="en-GB"/>
    </w:rPr>
  </w:style>
  <w:style w:type="paragraph" w:styleId="FootnoteText">
    <w:name w:val="footnote text"/>
    <w:basedOn w:val="Normal"/>
    <w:link w:val="FootnoteTextChar"/>
    <w:uiPriority w:val="99"/>
    <w:unhideWhenUsed/>
    <w:rsid w:val="009221EA"/>
  </w:style>
  <w:style w:type="character" w:customStyle="1" w:styleId="FootnoteTextChar">
    <w:name w:val="Footnote Text Char"/>
    <w:basedOn w:val="DefaultParagraphFont"/>
    <w:link w:val="FootnoteText"/>
    <w:uiPriority w:val="99"/>
    <w:rsid w:val="009221EA"/>
  </w:style>
  <w:style w:type="character" w:styleId="FootnoteReference">
    <w:name w:val="footnote reference"/>
    <w:semiHidden/>
    <w:rsid w:val="009221EA"/>
    <w:rPr>
      <w:rFonts w:ascii="Times New Roman" w:hAnsi="Times New Roman"/>
      <w:sz w:val="18"/>
      <w:vertAlign w:val="superscript"/>
    </w:rPr>
  </w:style>
  <w:style w:type="paragraph" w:styleId="Title">
    <w:name w:val="Title"/>
    <w:basedOn w:val="Normal"/>
    <w:next w:val="Normal"/>
    <w:link w:val="TitleChar"/>
    <w:uiPriority w:val="10"/>
    <w:qFormat/>
    <w:rsid w:val="00CC039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C0395"/>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CC0395"/>
    <w:pPr>
      <w:tabs>
        <w:tab w:val="center" w:pos="4320"/>
        <w:tab w:val="right" w:pos="8640"/>
      </w:tabs>
    </w:pPr>
  </w:style>
  <w:style w:type="character" w:customStyle="1" w:styleId="HeaderChar">
    <w:name w:val="Header Char"/>
    <w:basedOn w:val="DefaultParagraphFont"/>
    <w:link w:val="Header"/>
    <w:uiPriority w:val="99"/>
    <w:rsid w:val="00CC0395"/>
  </w:style>
  <w:style w:type="paragraph" w:styleId="Footer">
    <w:name w:val="footer"/>
    <w:basedOn w:val="Normal"/>
    <w:link w:val="FooterChar"/>
    <w:uiPriority w:val="99"/>
    <w:unhideWhenUsed/>
    <w:rsid w:val="00CC0395"/>
    <w:pPr>
      <w:tabs>
        <w:tab w:val="center" w:pos="4320"/>
        <w:tab w:val="right" w:pos="8640"/>
      </w:tabs>
    </w:pPr>
  </w:style>
  <w:style w:type="character" w:customStyle="1" w:styleId="FooterChar">
    <w:name w:val="Footer Char"/>
    <w:basedOn w:val="DefaultParagraphFont"/>
    <w:link w:val="Footer"/>
    <w:uiPriority w:val="99"/>
    <w:rsid w:val="00CC0395"/>
  </w:style>
  <w:style w:type="paragraph" w:styleId="NormalWeb">
    <w:name w:val="Normal (Web)"/>
    <w:basedOn w:val="Normal"/>
    <w:uiPriority w:val="99"/>
    <w:semiHidden/>
    <w:unhideWhenUsed/>
    <w:rsid w:val="00C552E0"/>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943901"/>
    <w:rPr>
      <w:rFonts w:ascii="Lucida Grande" w:hAnsi="Lucida Grande"/>
      <w:sz w:val="18"/>
      <w:szCs w:val="18"/>
    </w:rPr>
  </w:style>
  <w:style w:type="character" w:customStyle="1" w:styleId="BalloonTextChar">
    <w:name w:val="Balloon Text Char"/>
    <w:basedOn w:val="DefaultParagraphFont"/>
    <w:link w:val="BalloonText"/>
    <w:uiPriority w:val="99"/>
    <w:semiHidden/>
    <w:rsid w:val="00943901"/>
    <w:rPr>
      <w:rFonts w:ascii="Lucida Grande" w:hAnsi="Lucida Grande"/>
      <w:sz w:val="18"/>
      <w:szCs w:val="18"/>
    </w:rPr>
  </w:style>
  <w:style w:type="table" w:styleId="TableGrid">
    <w:name w:val="Table Grid"/>
    <w:basedOn w:val="TableNormal"/>
    <w:uiPriority w:val="59"/>
    <w:rsid w:val="007234D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B0C51"/>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8B0C5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B0C51"/>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723B81"/>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E6CAE"/>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B0C51"/>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8B0C51"/>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B0C51"/>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723B81"/>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7E6CAE"/>
    <w:rPr>
      <w:color w:val="0000FF" w:themeColor="hyperlink"/>
      <w:u w:val="single"/>
    </w:rPr>
  </w:style>
  <w:style w:type="character" w:customStyle="1" w:styleId="Heading5Char">
    <w:name w:val="Heading 5 Char"/>
    <w:basedOn w:val="DefaultParagraphFont"/>
    <w:link w:val="Heading5"/>
    <w:uiPriority w:val="9"/>
    <w:rsid w:val="007E6CAE"/>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E1356D"/>
    <w:pPr>
      <w:ind w:left="720"/>
      <w:contextualSpacing/>
    </w:pPr>
    <w:rPr>
      <w:rFonts w:ascii="Times New Roman" w:eastAsia="Times New Roman" w:hAnsi="Times New Roman" w:cs="Times New Roman"/>
    </w:rPr>
  </w:style>
  <w:style w:type="paragraph" w:customStyle="1" w:styleId="BodyChar">
    <w:name w:val="Body Char"/>
    <w:link w:val="BodyCharChar"/>
    <w:rsid w:val="00673AFF"/>
    <w:pPr>
      <w:tabs>
        <w:tab w:val="left" w:pos="567"/>
      </w:tabs>
      <w:jc w:val="both"/>
    </w:pPr>
    <w:rPr>
      <w:rFonts w:ascii="Times" w:eastAsia="Times New Roman" w:hAnsi="Times" w:cs="Times New Roman"/>
      <w:color w:val="000000"/>
      <w:sz w:val="22"/>
      <w:szCs w:val="22"/>
      <w:lang w:val="en-GB"/>
    </w:rPr>
  </w:style>
  <w:style w:type="character" w:customStyle="1" w:styleId="BodyCharChar">
    <w:name w:val="Body Char Char"/>
    <w:link w:val="BodyChar"/>
    <w:rsid w:val="00673AFF"/>
    <w:rPr>
      <w:rFonts w:ascii="Times" w:eastAsia="Times New Roman" w:hAnsi="Times" w:cs="Times New Roman"/>
      <w:color w:val="000000"/>
      <w:sz w:val="22"/>
      <w:szCs w:val="22"/>
      <w:lang w:val="en-GB"/>
    </w:rPr>
  </w:style>
  <w:style w:type="paragraph" w:styleId="FootnoteText">
    <w:name w:val="footnote text"/>
    <w:basedOn w:val="Normal"/>
    <w:link w:val="FootnoteTextChar"/>
    <w:uiPriority w:val="99"/>
    <w:unhideWhenUsed/>
    <w:rsid w:val="009221EA"/>
  </w:style>
  <w:style w:type="character" w:customStyle="1" w:styleId="FootnoteTextChar">
    <w:name w:val="Footnote Text Char"/>
    <w:basedOn w:val="DefaultParagraphFont"/>
    <w:link w:val="FootnoteText"/>
    <w:uiPriority w:val="99"/>
    <w:rsid w:val="009221EA"/>
  </w:style>
  <w:style w:type="character" w:styleId="FootnoteReference">
    <w:name w:val="footnote reference"/>
    <w:semiHidden/>
    <w:rsid w:val="009221EA"/>
    <w:rPr>
      <w:rFonts w:ascii="Times New Roman" w:hAnsi="Times New Roman"/>
      <w:sz w:val="18"/>
      <w:vertAlign w:val="superscript"/>
    </w:rPr>
  </w:style>
  <w:style w:type="paragraph" w:styleId="Title">
    <w:name w:val="Title"/>
    <w:basedOn w:val="Normal"/>
    <w:next w:val="Normal"/>
    <w:link w:val="TitleChar"/>
    <w:uiPriority w:val="10"/>
    <w:qFormat/>
    <w:rsid w:val="00CC0395"/>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C0395"/>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CC0395"/>
    <w:pPr>
      <w:tabs>
        <w:tab w:val="center" w:pos="4320"/>
        <w:tab w:val="right" w:pos="8640"/>
      </w:tabs>
    </w:pPr>
  </w:style>
  <w:style w:type="character" w:customStyle="1" w:styleId="HeaderChar">
    <w:name w:val="Header Char"/>
    <w:basedOn w:val="DefaultParagraphFont"/>
    <w:link w:val="Header"/>
    <w:uiPriority w:val="99"/>
    <w:rsid w:val="00CC0395"/>
  </w:style>
  <w:style w:type="paragraph" w:styleId="Footer">
    <w:name w:val="footer"/>
    <w:basedOn w:val="Normal"/>
    <w:link w:val="FooterChar"/>
    <w:uiPriority w:val="99"/>
    <w:unhideWhenUsed/>
    <w:rsid w:val="00CC0395"/>
    <w:pPr>
      <w:tabs>
        <w:tab w:val="center" w:pos="4320"/>
        <w:tab w:val="right" w:pos="8640"/>
      </w:tabs>
    </w:pPr>
  </w:style>
  <w:style w:type="character" w:customStyle="1" w:styleId="FooterChar">
    <w:name w:val="Footer Char"/>
    <w:basedOn w:val="DefaultParagraphFont"/>
    <w:link w:val="Footer"/>
    <w:uiPriority w:val="99"/>
    <w:rsid w:val="00CC0395"/>
  </w:style>
  <w:style w:type="paragraph" w:styleId="NormalWeb">
    <w:name w:val="Normal (Web)"/>
    <w:basedOn w:val="Normal"/>
    <w:uiPriority w:val="99"/>
    <w:semiHidden/>
    <w:unhideWhenUsed/>
    <w:rsid w:val="00C552E0"/>
    <w:pPr>
      <w:spacing w:before="100" w:beforeAutospacing="1" w:after="100" w:afterAutospacing="1"/>
    </w:pPr>
    <w:rPr>
      <w:rFonts w:ascii="Times New Roman" w:hAnsi="Times New Roman" w:cs="Times New Roman"/>
    </w:rPr>
  </w:style>
  <w:style w:type="paragraph" w:styleId="BalloonText">
    <w:name w:val="Balloon Text"/>
    <w:basedOn w:val="Normal"/>
    <w:link w:val="BalloonTextChar"/>
    <w:uiPriority w:val="99"/>
    <w:semiHidden/>
    <w:unhideWhenUsed/>
    <w:rsid w:val="00943901"/>
    <w:rPr>
      <w:rFonts w:ascii="Lucida Grande" w:hAnsi="Lucida Grande"/>
      <w:sz w:val="18"/>
      <w:szCs w:val="18"/>
    </w:rPr>
  </w:style>
  <w:style w:type="character" w:customStyle="1" w:styleId="BalloonTextChar">
    <w:name w:val="Balloon Text Char"/>
    <w:basedOn w:val="DefaultParagraphFont"/>
    <w:link w:val="BalloonText"/>
    <w:uiPriority w:val="99"/>
    <w:semiHidden/>
    <w:rsid w:val="00943901"/>
    <w:rPr>
      <w:rFonts w:ascii="Lucida Grande" w:hAnsi="Lucida Grande"/>
      <w:sz w:val="18"/>
      <w:szCs w:val="18"/>
    </w:rPr>
  </w:style>
  <w:style w:type="table" w:styleId="TableGrid">
    <w:name w:val="Table Grid"/>
    <w:basedOn w:val="TableNormal"/>
    <w:uiPriority w:val="59"/>
    <w:rsid w:val="007234D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479224">
      <w:bodyDiv w:val="1"/>
      <w:marLeft w:val="0"/>
      <w:marRight w:val="0"/>
      <w:marTop w:val="0"/>
      <w:marBottom w:val="0"/>
      <w:divBdr>
        <w:top w:val="none" w:sz="0" w:space="0" w:color="auto"/>
        <w:left w:val="none" w:sz="0" w:space="0" w:color="auto"/>
        <w:bottom w:val="none" w:sz="0" w:space="0" w:color="auto"/>
        <w:right w:val="none" w:sz="0" w:space="0" w:color="auto"/>
      </w:divBdr>
    </w:div>
    <w:div w:id="95953502">
      <w:bodyDiv w:val="1"/>
      <w:marLeft w:val="0"/>
      <w:marRight w:val="0"/>
      <w:marTop w:val="0"/>
      <w:marBottom w:val="0"/>
      <w:divBdr>
        <w:top w:val="none" w:sz="0" w:space="0" w:color="auto"/>
        <w:left w:val="none" w:sz="0" w:space="0" w:color="auto"/>
        <w:bottom w:val="none" w:sz="0" w:space="0" w:color="auto"/>
        <w:right w:val="none" w:sz="0" w:space="0" w:color="auto"/>
      </w:divBdr>
    </w:div>
    <w:div w:id="107089868">
      <w:bodyDiv w:val="1"/>
      <w:marLeft w:val="0"/>
      <w:marRight w:val="0"/>
      <w:marTop w:val="0"/>
      <w:marBottom w:val="0"/>
      <w:divBdr>
        <w:top w:val="none" w:sz="0" w:space="0" w:color="auto"/>
        <w:left w:val="none" w:sz="0" w:space="0" w:color="auto"/>
        <w:bottom w:val="none" w:sz="0" w:space="0" w:color="auto"/>
        <w:right w:val="none" w:sz="0" w:space="0" w:color="auto"/>
      </w:divBdr>
    </w:div>
    <w:div w:id="153303279">
      <w:bodyDiv w:val="1"/>
      <w:marLeft w:val="0"/>
      <w:marRight w:val="0"/>
      <w:marTop w:val="0"/>
      <w:marBottom w:val="0"/>
      <w:divBdr>
        <w:top w:val="none" w:sz="0" w:space="0" w:color="auto"/>
        <w:left w:val="none" w:sz="0" w:space="0" w:color="auto"/>
        <w:bottom w:val="none" w:sz="0" w:space="0" w:color="auto"/>
        <w:right w:val="none" w:sz="0" w:space="0" w:color="auto"/>
      </w:divBdr>
    </w:div>
    <w:div w:id="202132177">
      <w:bodyDiv w:val="1"/>
      <w:marLeft w:val="0"/>
      <w:marRight w:val="0"/>
      <w:marTop w:val="0"/>
      <w:marBottom w:val="0"/>
      <w:divBdr>
        <w:top w:val="none" w:sz="0" w:space="0" w:color="auto"/>
        <w:left w:val="none" w:sz="0" w:space="0" w:color="auto"/>
        <w:bottom w:val="none" w:sz="0" w:space="0" w:color="auto"/>
        <w:right w:val="none" w:sz="0" w:space="0" w:color="auto"/>
      </w:divBdr>
    </w:div>
    <w:div w:id="264121244">
      <w:bodyDiv w:val="1"/>
      <w:marLeft w:val="0"/>
      <w:marRight w:val="0"/>
      <w:marTop w:val="0"/>
      <w:marBottom w:val="0"/>
      <w:divBdr>
        <w:top w:val="none" w:sz="0" w:space="0" w:color="auto"/>
        <w:left w:val="none" w:sz="0" w:space="0" w:color="auto"/>
        <w:bottom w:val="none" w:sz="0" w:space="0" w:color="auto"/>
        <w:right w:val="none" w:sz="0" w:space="0" w:color="auto"/>
      </w:divBdr>
    </w:div>
    <w:div w:id="388306954">
      <w:bodyDiv w:val="1"/>
      <w:marLeft w:val="0"/>
      <w:marRight w:val="0"/>
      <w:marTop w:val="0"/>
      <w:marBottom w:val="0"/>
      <w:divBdr>
        <w:top w:val="none" w:sz="0" w:space="0" w:color="auto"/>
        <w:left w:val="none" w:sz="0" w:space="0" w:color="auto"/>
        <w:bottom w:val="none" w:sz="0" w:space="0" w:color="auto"/>
        <w:right w:val="none" w:sz="0" w:space="0" w:color="auto"/>
      </w:divBdr>
    </w:div>
    <w:div w:id="392126300">
      <w:bodyDiv w:val="1"/>
      <w:marLeft w:val="0"/>
      <w:marRight w:val="0"/>
      <w:marTop w:val="0"/>
      <w:marBottom w:val="0"/>
      <w:divBdr>
        <w:top w:val="none" w:sz="0" w:space="0" w:color="auto"/>
        <w:left w:val="none" w:sz="0" w:space="0" w:color="auto"/>
        <w:bottom w:val="none" w:sz="0" w:space="0" w:color="auto"/>
        <w:right w:val="none" w:sz="0" w:space="0" w:color="auto"/>
      </w:divBdr>
    </w:div>
    <w:div w:id="410935690">
      <w:bodyDiv w:val="1"/>
      <w:marLeft w:val="0"/>
      <w:marRight w:val="0"/>
      <w:marTop w:val="0"/>
      <w:marBottom w:val="0"/>
      <w:divBdr>
        <w:top w:val="none" w:sz="0" w:space="0" w:color="auto"/>
        <w:left w:val="none" w:sz="0" w:space="0" w:color="auto"/>
        <w:bottom w:val="none" w:sz="0" w:space="0" w:color="auto"/>
        <w:right w:val="none" w:sz="0" w:space="0" w:color="auto"/>
      </w:divBdr>
    </w:div>
    <w:div w:id="417598356">
      <w:bodyDiv w:val="1"/>
      <w:marLeft w:val="0"/>
      <w:marRight w:val="0"/>
      <w:marTop w:val="0"/>
      <w:marBottom w:val="0"/>
      <w:divBdr>
        <w:top w:val="none" w:sz="0" w:space="0" w:color="auto"/>
        <w:left w:val="none" w:sz="0" w:space="0" w:color="auto"/>
        <w:bottom w:val="none" w:sz="0" w:space="0" w:color="auto"/>
        <w:right w:val="none" w:sz="0" w:space="0" w:color="auto"/>
      </w:divBdr>
    </w:div>
    <w:div w:id="421683425">
      <w:bodyDiv w:val="1"/>
      <w:marLeft w:val="0"/>
      <w:marRight w:val="0"/>
      <w:marTop w:val="0"/>
      <w:marBottom w:val="0"/>
      <w:divBdr>
        <w:top w:val="none" w:sz="0" w:space="0" w:color="auto"/>
        <w:left w:val="none" w:sz="0" w:space="0" w:color="auto"/>
        <w:bottom w:val="none" w:sz="0" w:space="0" w:color="auto"/>
        <w:right w:val="none" w:sz="0" w:space="0" w:color="auto"/>
      </w:divBdr>
    </w:div>
    <w:div w:id="449671531">
      <w:bodyDiv w:val="1"/>
      <w:marLeft w:val="0"/>
      <w:marRight w:val="0"/>
      <w:marTop w:val="0"/>
      <w:marBottom w:val="0"/>
      <w:divBdr>
        <w:top w:val="none" w:sz="0" w:space="0" w:color="auto"/>
        <w:left w:val="none" w:sz="0" w:space="0" w:color="auto"/>
        <w:bottom w:val="none" w:sz="0" w:space="0" w:color="auto"/>
        <w:right w:val="none" w:sz="0" w:space="0" w:color="auto"/>
      </w:divBdr>
    </w:div>
    <w:div w:id="489640184">
      <w:bodyDiv w:val="1"/>
      <w:marLeft w:val="0"/>
      <w:marRight w:val="0"/>
      <w:marTop w:val="0"/>
      <w:marBottom w:val="0"/>
      <w:divBdr>
        <w:top w:val="none" w:sz="0" w:space="0" w:color="auto"/>
        <w:left w:val="none" w:sz="0" w:space="0" w:color="auto"/>
        <w:bottom w:val="none" w:sz="0" w:space="0" w:color="auto"/>
        <w:right w:val="none" w:sz="0" w:space="0" w:color="auto"/>
      </w:divBdr>
    </w:div>
    <w:div w:id="512959160">
      <w:bodyDiv w:val="1"/>
      <w:marLeft w:val="0"/>
      <w:marRight w:val="0"/>
      <w:marTop w:val="0"/>
      <w:marBottom w:val="0"/>
      <w:divBdr>
        <w:top w:val="none" w:sz="0" w:space="0" w:color="auto"/>
        <w:left w:val="none" w:sz="0" w:space="0" w:color="auto"/>
        <w:bottom w:val="none" w:sz="0" w:space="0" w:color="auto"/>
        <w:right w:val="none" w:sz="0" w:space="0" w:color="auto"/>
      </w:divBdr>
    </w:div>
    <w:div w:id="607472607">
      <w:bodyDiv w:val="1"/>
      <w:marLeft w:val="0"/>
      <w:marRight w:val="0"/>
      <w:marTop w:val="0"/>
      <w:marBottom w:val="0"/>
      <w:divBdr>
        <w:top w:val="none" w:sz="0" w:space="0" w:color="auto"/>
        <w:left w:val="none" w:sz="0" w:space="0" w:color="auto"/>
        <w:bottom w:val="none" w:sz="0" w:space="0" w:color="auto"/>
        <w:right w:val="none" w:sz="0" w:space="0" w:color="auto"/>
      </w:divBdr>
    </w:div>
    <w:div w:id="626468995">
      <w:bodyDiv w:val="1"/>
      <w:marLeft w:val="0"/>
      <w:marRight w:val="0"/>
      <w:marTop w:val="0"/>
      <w:marBottom w:val="0"/>
      <w:divBdr>
        <w:top w:val="none" w:sz="0" w:space="0" w:color="auto"/>
        <w:left w:val="none" w:sz="0" w:space="0" w:color="auto"/>
        <w:bottom w:val="none" w:sz="0" w:space="0" w:color="auto"/>
        <w:right w:val="none" w:sz="0" w:space="0" w:color="auto"/>
      </w:divBdr>
    </w:div>
    <w:div w:id="643894650">
      <w:bodyDiv w:val="1"/>
      <w:marLeft w:val="0"/>
      <w:marRight w:val="0"/>
      <w:marTop w:val="0"/>
      <w:marBottom w:val="0"/>
      <w:divBdr>
        <w:top w:val="none" w:sz="0" w:space="0" w:color="auto"/>
        <w:left w:val="none" w:sz="0" w:space="0" w:color="auto"/>
        <w:bottom w:val="none" w:sz="0" w:space="0" w:color="auto"/>
        <w:right w:val="none" w:sz="0" w:space="0" w:color="auto"/>
      </w:divBdr>
    </w:div>
    <w:div w:id="650642598">
      <w:bodyDiv w:val="1"/>
      <w:marLeft w:val="0"/>
      <w:marRight w:val="0"/>
      <w:marTop w:val="0"/>
      <w:marBottom w:val="0"/>
      <w:divBdr>
        <w:top w:val="none" w:sz="0" w:space="0" w:color="auto"/>
        <w:left w:val="none" w:sz="0" w:space="0" w:color="auto"/>
        <w:bottom w:val="none" w:sz="0" w:space="0" w:color="auto"/>
        <w:right w:val="none" w:sz="0" w:space="0" w:color="auto"/>
      </w:divBdr>
      <w:divsChild>
        <w:div w:id="1011689257">
          <w:marLeft w:val="2400"/>
          <w:marRight w:val="0"/>
          <w:marTop w:val="0"/>
          <w:marBottom w:val="0"/>
          <w:divBdr>
            <w:top w:val="single" w:sz="6" w:space="12" w:color="A7D7F9"/>
            <w:left w:val="single" w:sz="6" w:space="12" w:color="A7D7F9"/>
            <w:bottom w:val="single" w:sz="6" w:space="12" w:color="A7D7F9"/>
            <w:right w:val="single" w:sz="2" w:space="12" w:color="A7D7F9"/>
          </w:divBdr>
          <w:divsChild>
            <w:div w:id="1190802637">
              <w:marLeft w:val="0"/>
              <w:marRight w:val="0"/>
              <w:marTop w:val="0"/>
              <w:marBottom w:val="0"/>
              <w:divBdr>
                <w:top w:val="none" w:sz="0" w:space="0" w:color="auto"/>
                <w:left w:val="none" w:sz="0" w:space="0" w:color="auto"/>
                <w:bottom w:val="none" w:sz="0" w:space="0" w:color="auto"/>
                <w:right w:val="none" w:sz="0" w:space="0" w:color="auto"/>
              </w:divBdr>
              <w:divsChild>
                <w:div w:id="1648782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736562">
          <w:marLeft w:val="0"/>
          <w:marRight w:val="0"/>
          <w:marTop w:val="0"/>
          <w:marBottom w:val="0"/>
          <w:divBdr>
            <w:top w:val="none" w:sz="0" w:space="0" w:color="auto"/>
            <w:left w:val="none" w:sz="0" w:space="0" w:color="auto"/>
            <w:bottom w:val="none" w:sz="0" w:space="0" w:color="auto"/>
            <w:right w:val="none" w:sz="0" w:space="0" w:color="auto"/>
          </w:divBdr>
          <w:divsChild>
            <w:div w:id="734083278">
              <w:marLeft w:val="0"/>
              <w:marRight w:val="0"/>
              <w:marTop w:val="0"/>
              <w:marBottom w:val="0"/>
              <w:divBdr>
                <w:top w:val="none" w:sz="0" w:space="0" w:color="auto"/>
                <w:left w:val="none" w:sz="0" w:space="0" w:color="auto"/>
                <w:bottom w:val="none" w:sz="0" w:space="0" w:color="auto"/>
                <w:right w:val="none" w:sz="0" w:space="0" w:color="auto"/>
              </w:divBdr>
              <w:divsChild>
                <w:div w:id="67117275">
                  <w:marLeft w:val="0"/>
                  <w:marRight w:val="0"/>
                  <w:marTop w:val="0"/>
                  <w:marBottom w:val="0"/>
                  <w:divBdr>
                    <w:top w:val="none" w:sz="0" w:space="0" w:color="auto"/>
                    <w:left w:val="none" w:sz="0" w:space="0" w:color="auto"/>
                    <w:bottom w:val="none" w:sz="0" w:space="0" w:color="auto"/>
                    <w:right w:val="none" w:sz="0" w:space="0" w:color="auto"/>
                  </w:divBdr>
                </w:div>
                <w:div w:id="1079325293">
                  <w:marLeft w:val="2400"/>
                  <w:marRight w:val="0"/>
                  <w:marTop w:val="600"/>
                  <w:marBottom w:val="0"/>
                  <w:divBdr>
                    <w:top w:val="none" w:sz="0" w:space="0" w:color="auto"/>
                    <w:left w:val="none" w:sz="0" w:space="0" w:color="auto"/>
                    <w:bottom w:val="none" w:sz="0" w:space="0" w:color="auto"/>
                    <w:right w:val="none" w:sz="0" w:space="0" w:color="auto"/>
                  </w:divBdr>
                  <w:divsChild>
                    <w:div w:id="1087731502">
                      <w:marLeft w:val="0"/>
                      <w:marRight w:val="0"/>
                      <w:marTop w:val="0"/>
                      <w:marBottom w:val="0"/>
                      <w:divBdr>
                        <w:top w:val="none" w:sz="0" w:space="0" w:color="auto"/>
                        <w:left w:val="none" w:sz="0" w:space="0" w:color="auto"/>
                        <w:bottom w:val="none" w:sz="0" w:space="0" w:color="auto"/>
                        <w:right w:val="none" w:sz="0" w:space="0" w:color="auto"/>
                      </w:divBdr>
                    </w:div>
                  </w:divsChild>
                </w:div>
                <w:div w:id="1594510055">
                  <w:marLeft w:val="0"/>
                  <w:marRight w:val="0"/>
                  <w:marTop w:val="600"/>
                  <w:marBottom w:val="0"/>
                  <w:divBdr>
                    <w:top w:val="none" w:sz="0" w:space="0" w:color="auto"/>
                    <w:left w:val="none" w:sz="0" w:space="0" w:color="auto"/>
                    <w:bottom w:val="none" w:sz="0" w:space="0" w:color="auto"/>
                    <w:right w:val="none" w:sz="0" w:space="0" w:color="auto"/>
                  </w:divBdr>
                  <w:divsChild>
                    <w:div w:id="366612154">
                      <w:marLeft w:val="0"/>
                      <w:marRight w:val="0"/>
                      <w:marTop w:val="0"/>
                      <w:marBottom w:val="0"/>
                      <w:divBdr>
                        <w:top w:val="none" w:sz="0" w:space="0" w:color="auto"/>
                        <w:left w:val="none" w:sz="0" w:space="0" w:color="auto"/>
                        <w:bottom w:val="none" w:sz="0" w:space="0" w:color="auto"/>
                        <w:right w:val="none" w:sz="0" w:space="0" w:color="auto"/>
                      </w:divBdr>
                    </w:div>
                    <w:div w:id="1308972961">
                      <w:marLeft w:val="120"/>
                      <w:marRight w:val="120"/>
                      <w:marTop w:val="0"/>
                      <w:marBottom w:val="0"/>
                      <w:divBdr>
                        <w:top w:val="none" w:sz="0" w:space="0" w:color="auto"/>
                        <w:left w:val="none" w:sz="0" w:space="0" w:color="auto"/>
                        <w:bottom w:val="none" w:sz="0" w:space="0" w:color="auto"/>
                        <w:right w:val="none" w:sz="0" w:space="0" w:color="auto"/>
                      </w:divBdr>
                      <w:divsChild>
                        <w:div w:id="146752095">
                          <w:marLeft w:val="0"/>
                          <w:marRight w:val="0"/>
                          <w:marTop w:val="156"/>
                          <w:marBottom w:val="0"/>
                          <w:divBdr>
                            <w:top w:val="single" w:sz="6" w:space="0" w:color="AAAAAA"/>
                            <w:left w:val="single" w:sz="6" w:space="0" w:color="AAAAAA"/>
                            <w:bottom w:val="single" w:sz="6" w:space="0" w:color="AAAAAA"/>
                            <w:right w:val="single" w:sz="6" w:space="17" w:color="AAAAAA"/>
                          </w:divBdr>
                        </w:div>
                      </w:divsChild>
                    </w:div>
                  </w:divsChild>
                </w:div>
              </w:divsChild>
            </w:div>
            <w:div w:id="196816048">
              <w:marLeft w:val="0"/>
              <w:marRight w:val="0"/>
              <w:marTop w:val="0"/>
              <w:marBottom w:val="0"/>
              <w:divBdr>
                <w:top w:val="none" w:sz="0" w:space="0" w:color="auto"/>
                <w:left w:val="none" w:sz="0" w:space="0" w:color="auto"/>
                <w:bottom w:val="none" w:sz="0" w:space="0" w:color="auto"/>
                <w:right w:val="none" w:sz="0" w:space="0" w:color="auto"/>
              </w:divBdr>
              <w:divsChild>
                <w:div w:id="779449597">
                  <w:marLeft w:val="168"/>
                  <w:marRight w:val="144"/>
                  <w:marTop w:val="0"/>
                  <w:marBottom w:val="0"/>
                  <w:divBdr>
                    <w:top w:val="none" w:sz="0" w:space="0" w:color="auto"/>
                    <w:left w:val="none" w:sz="0" w:space="0" w:color="auto"/>
                    <w:bottom w:val="none" w:sz="0" w:space="0" w:color="auto"/>
                    <w:right w:val="none" w:sz="0" w:space="0" w:color="auto"/>
                  </w:divBdr>
                  <w:divsChild>
                    <w:div w:id="531846328">
                      <w:marLeft w:val="120"/>
                      <w:marRight w:val="0"/>
                      <w:marTop w:val="0"/>
                      <w:marBottom w:val="0"/>
                      <w:divBdr>
                        <w:top w:val="none" w:sz="0" w:space="0" w:color="auto"/>
                        <w:left w:val="none" w:sz="0" w:space="0" w:color="auto"/>
                        <w:bottom w:val="none" w:sz="0" w:space="0" w:color="auto"/>
                        <w:right w:val="none" w:sz="0" w:space="0" w:color="auto"/>
                      </w:divBdr>
                    </w:div>
                  </w:divsChild>
                </w:div>
                <w:div w:id="663705633">
                  <w:marLeft w:val="168"/>
                  <w:marRight w:val="144"/>
                  <w:marTop w:val="0"/>
                  <w:marBottom w:val="0"/>
                  <w:divBdr>
                    <w:top w:val="none" w:sz="0" w:space="0" w:color="auto"/>
                    <w:left w:val="none" w:sz="0" w:space="0" w:color="auto"/>
                    <w:bottom w:val="none" w:sz="0" w:space="0" w:color="auto"/>
                    <w:right w:val="none" w:sz="0" w:space="0" w:color="auto"/>
                  </w:divBdr>
                  <w:divsChild>
                    <w:div w:id="906383653">
                      <w:marLeft w:val="3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8414542">
          <w:marLeft w:val="2400"/>
          <w:marRight w:val="0"/>
          <w:marTop w:val="0"/>
          <w:marBottom w:val="0"/>
          <w:divBdr>
            <w:top w:val="none" w:sz="0" w:space="0" w:color="auto"/>
            <w:left w:val="none" w:sz="0" w:space="0" w:color="auto"/>
            <w:bottom w:val="none" w:sz="0" w:space="0" w:color="auto"/>
            <w:right w:val="none" w:sz="0" w:space="0" w:color="auto"/>
          </w:divBdr>
        </w:div>
      </w:divsChild>
    </w:div>
    <w:div w:id="676080421">
      <w:bodyDiv w:val="1"/>
      <w:marLeft w:val="0"/>
      <w:marRight w:val="0"/>
      <w:marTop w:val="0"/>
      <w:marBottom w:val="0"/>
      <w:divBdr>
        <w:top w:val="none" w:sz="0" w:space="0" w:color="auto"/>
        <w:left w:val="none" w:sz="0" w:space="0" w:color="auto"/>
        <w:bottom w:val="none" w:sz="0" w:space="0" w:color="auto"/>
        <w:right w:val="none" w:sz="0" w:space="0" w:color="auto"/>
      </w:divBdr>
    </w:div>
    <w:div w:id="733283933">
      <w:bodyDiv w:val="1"/>
      <w:marLeft w:val="0"/>
      <w:marRight w:val="0"/>
      <w:marTop w:val="0"/>
      <w:marBottom w:val="0"/>
      <w:divBdr>
        <w:top w:val="none" w:sz="0" w:space="0" w:color="auto"/>
        <w:left w:val="none" w:sz="0" w:space="0" w:color="auto"/>
        <w:bottom w:val="none" w:sz="0" w:space="0" w:color="auto"/>
        <w:right w:val="none" w:sz="0" w:space="0" w:color="auto"/>
      </w:divBdr>
    </w:div>
    <w:div w:id="795487941">
      <w:bodyDiv w:val="1"/>
      <w:marLeft w:val="0"/>
      <w:marRight w:val="0"/>
      <w:marTop w:val="0"/>
      <w:marBottom w:val="0"/>
      <w:divBdr>
        <w:top w:val="none" w:sz="0" w:space="0" w:color="auto"/>
        <w:left w:val="none" w:sz="0" w:space="0" w:color="auto"/>
        <w:bottom w:val="none" w:sz="0" w:space="0" w:color="auto"/>
        <w:right w:val="none" w:sz="0" w:space="0" w:color="auto"/>
      </w:divBdr>
    </w:div>
    <w:div w:id="833567250">
      <w:bodyDiv w:val="1"/>
      <w:marLeft w:val="0"/>
      <w:marRight w:val="0"/>
      <w:marTop w:val="0"/>
      <w:marBottom w:val="0"/>
      <w:divBdr>
        <w:top w:val="none" w:sz="0" w:space="0" w:color="auto"/>
        <w:left w:val="none" w:sz="0" w:space="0" w:color="auto"/>
        <w:bottom w:val="none" w:sz="0" w:space="0" w:color="auto"/>
        <w:right w:val="none" w:sz="0" w:space="0" w:color="auto"/>
      </w:divBdr>
    </w:div>
    <w:div w:id="845169373">
      <w:bodyDiv w:val="1"/>
      <w:marLeft w:val="0"/>
      <w:marRight w:val="0"/>
      <w:marTop w:val="0"/>
      <w:marBottom w:val="0"/>
      <w:divBdr>
        <w:top w:val="none" w:sz="0" w:space="0" w:color="auto"/>
        <w:left w:val="none" w:sz="0" w:space="0" w:color="auto"/>
        <w:bottom w:val="none" w:sz="0" w:space="0" w:color="auto"/>
        <w:right w:val="none" w:sz="0" w:space="0" w:color="auto"/>
      </w:divBdr>
    </w:div>
    <w:div w:id="899024046">
      <w:bodyDiv w:val="1"/>
      <w:marLeft w:val="0"/>
      <w:marRight w:val="0"/>
      <w:marTop w:val="0"/>
      <w:marBottom w:val="0"/>
      <w:divBdr>
        <w:top w:val="none" w:sz="0" w:space="0" w:color="auto"/>
        <w:left w:val="none" w:sz="0" w:space="0" w:color="auto"/>
        <w:bottom w:val="none" w:sz="0" w:space="0" w:color="auto"/>
        <w:right w:val="none" w:sz="0" w:space="0" w:color="auto"/>
      </w:divBdr>
    </w:div>
    <w:div w:id="904880115">
      <w:bodyDiv w:val="1"/>
      <w:marLeft w:val="0"/>
      <w:marRight w:val="0"/>
      <w:marTop w:val="0"/>
      <w:marBottom w:val="0"/>
      <w:divBdr>
        <w:top w:val="none" w:sz="0" w:space="0" w:color="auto"/>
        <w:left w:val="none" w:sz="0" w:space="0" w:color="auto"/>
        <w:bottom w:val="none" w:sz="0" w:space="0" w:color="auto"/>
        <w:right w:val="none" w:sz="0" w:space="0" w:color="auto"/>
      </w:divBdr>
    </w:div>
    <w:div w:id="1206603086">
      <w:bodyDiv w:val="1"/>
      <w:marLeft w:val="0"/>
      <w:marRight w:val="0"/>
      <w:marTop w:val="0"/>
      <w:marBottom w:val="0"/>
      <w:divBdr>
        <w:top w:val="none" w:sz="0" w:space="0" w:color="auto"/>
        <w:left w:val="none" w:sz="0" w:space="0" w:color="auto"/>
        <w:bottom w:val="none" w:sz="0" w:space="0" w:color="auto"/>
        <w:right w:val="none" w:sz="0" w:space="0" w:color="auto"/>
      </w:divBdr>
    </w:div>
    <w:div w:id="1211727117">
      <w:bodyDiv w:val="1"/>
      <w:marLeft w:val="0"/>
      <w:marRight w:val="0"/>
      <w:marTop w:val="0"/>
      <w:marBottom w:val="0"/>
      <w:divBdr>
        <w:top w:val="none" w:sz="0" w:space="0" w:color="auto"/>
        <w:left w:val="none" w:sz="0" w:space="0" w:color="auto"/>
        <w:bottom w:val="none" w:sz="0" w:space="0" w:color="auto"/>
        <w:right w:val="none" w:sz="0" w:space="0" w:color="auto"/>
      </w:divBdr>
    </w:div>
    <w:div w:id="1237131526">
      <w:bodyDiv w:val="1"/>
      <w:marLeft w:val="0"/>
      <w:marRight w:val="0"/>
      <w:marTop w:val="0"/>
      <w:marBottom w:val="0"/>
      <w:divBdr>
        <w:top w:val="none" w:sz="0" w:space="0" w:color="auto"/>
        <w:left w:val="none" w:sz="0" w:space="0" w:color="auto"/>
        <w:bottom w:val="none" w:sz="0" w:space="0" w:color="auto"/>
        <w:right w:val="none" w:sz="0" w:space="0" w:color="auto"/>
      </w:divBdr>
    </w:div>
    <w:div w:id="1285237789">
      <w:bodyDiv w:val="1"/>
      <w:marLeft w:val="0"/>
      <w:marRight w:val="0"/>
      <w:marTop w:val="0"/>
      <w:marBottom w:val="0"/>
      <w:divBdr>
        <w:top w:val="none" w:sz="0" w:space="0" w:color="auto"/>
        <w:left w:val="none" w:sz="0" w:space="0" w:color="auto"/>
        <w:bottom w:val="none" w:sz="0" w:space="0" w:color="auto"/>
        <w:right w:val="none" w:sz="0" w:space="0" w:color="auto"/>
      </w:divBdr>
    </w:div>
    <w:div w:id="1327632733">
      <w:bodyDiv w:val="1"/>
      <w:marLeft w:val="0"/>
      <w:marRight w:val="0"/>
      <w:marTop w:val="0"/>
      <w:marBottom w:val="0"/>
      <w:divBdr>
        <w:top w:val="none" w:sz="0" w:space="0" w:color="auto"/>
        <w:left w:val="none" w:sz="0" w:space="0" w:color="auto"/>
        <w:bottom w:val="none" w:sz="0" w:space="0" w:color="auto"/>
        <w:right w:val="none" w:sz="0" w:space="0" w:color="auto"/>
      </w:divBdr>
    </w:div>
    <w:div w:id="1332683737">
      <w:bodyDiv w:val="1"/>
      <w:marLeft w:val="0"/>
      <w:marRight w:val="0"/>
      <w:marTop w:val="0"/>
      <w:marBottom w:val="0"/>
      <w:divBdr>
        <w:top w:val="none" w:sz="0" w:space="0" w:color="auto"/>
        <w:left w:val="none" w:sz="0" w:space="0" w:color="auto"/>
        <w:bottom w:val="none" w:sz="0" w:space="0" w:color="auto"/>
        <w:right w:val="none" w:sz="0" w:space="0" w:color="auto"/>
      </w:divBdr>
    </w:div>
    <w:div w:id="1350595698">
      <w:bodyDiv w:val="1"/>
      <w:marLeft w:val="0"/>
      <w:marRight w:val="0"/>
      <w:marTop w:val="0"/>
      <w:marBottom w:val="0"/>
      <w:divBdr>
        <w:top w:val="none" w:sz="0" w:space="0" w:color="auto"/>
        <w:left w:val="none" w:sz="0" w:space="0" w:color="auto"/>
        <w:bottom w:val="none" w:sz="0" w:space="0" w:color="auto"/>
        <w:right w:val="none" w:sz="0" w:space="0" w:color="auto"/>
      </w:divBdr>
    </w:div>
    <w:div w:id="1425682603">
      <w:bodyDiv w:val="1"/>
      <w:marLeft w:val="0"/>
      <w:marRight w:val="0"/>
      <w:marTop w:val="0"/>
      <w:marBottom w:val="0"/>
      <w:divBdr>
        <w:top w:val="none" w:sz="0" w:space="0" w:color="auto"/>
        <w:left w:val="none" w:sz="0" w:space="0" w:color="auto"/>
        <w:bottom w:val="none" w:sz="0" w:space="0" w:color="auto"/>
        <w:right w:val="none" w:sz="0" w:space="0" w:color="auto"/>
      </w:divBdr>
    </w:div>
    <w:div w:id="1450784671">
      <w:bodyDiv w:val="1"/>
      <w:marLeft w:val="0"/>
      <w:marRight w:val="0"/>
      <w:marTop w:val="0"/>
      <w:marBottom w:val="0"/>
      <w:divBdr>
        <w:top w:val="none" w:sz="0" w:space="0" w:color="auto"/>
        <w:left w:val="none" w:sz="0" w:space="0" w:color="auto"/>
        <w:bottom w:val="none" w:sz="0" w:space="0" w:color="auto"/>
        <w:right w:val="none" w:sz="0" w:space="0" w:color="auto"/>
      </w:divBdr>
    </w:div>
    <w:div w:id="1452672470">
      <w:bodyDiv w:val="1"/>
      <w:marLeft w:val="0"/>
      <w:marRight w:val="0"/>
      <w:marTop w:val="0"/>
      <w:marBottom w:val="0"/>
      <w:divBdr>
        <w:top w:val="none" w:sz="0" w:space="0" w:color="auto"/>
        <w:left w:val="none" w:sz="0" w:space="0" w:color="auto"/>
        <w:bottom w:val="none" w:sz="0" w:space="0" w:color="auto"/>
        <w:right w:val="none" w:sz="0" w:space="0" w:color="auto"/>
      </w:divBdr>
    </w:div>
    <w:div w:id="1659503680">
      <w:bodyDiv w:val="1"/>
      <w:marLeft w:val="0"/>
      <w:marRight w:val="0"/>
      <w:marTop w:val="0"/>
      <w:marBottom w:val="0"/>
      <w:divBdr>
        <w:top w:val="none" w:sz="0" w:space="0" w:color="auto"/>
        <w:left w:val="none" w:sz="0" w:space="0" w:color="auto"/>
        <w:bottom w:val="none" w:sz="0" w:space="0" w:color="auto"/>
        <w:right w:val="none" w:sz="0" w:space="0" w:color="auto"/>
      </w:divBdr>
    </w:div>
    <w:div w:id="1754163174">
      <w:bodyDiv w:val="1"/>
      <w:marLeft w:val="0"/>
      <w:marRight w:val="0"/>
      <w:marTop w:val="0"/>
      <w:marBottom w:val="0"/>
      <w:divBdr>
        <w:top w:val="none" w:sz="0" w:space="0" w:color="auto"/>
        <w:left w:val="none" w:sz="0" w:space="0" w:color="auto"/>
        <w:bottom w:val="none" w:sz="0" w:space="0" w:color="auto"/>
        <w:right w:val="none" w:sz="0" w:space="0" w:color="auto"/>
      </w:divBdr>
      <w:divsChild>
        <w:div w:id="605310407">
          <w:marLeft w:val="1166"/>
          <w:marRight w:val="0"/>
          <w:marTop w:val="125"/>
          <w:marBottom w:val="0"/>
          <w:divBdr>
            <w:top w:val="none" w:sz="0" w:space="0" w:color="auto"/>
            <w:left w:val="none" w:sz="0" w:space="0" w:color="auto"/>
            <w:bottom w:val="none" w:sz="0" w:space="0" w:color="auto"/>
            <w:right w:val="none" w:sz="0" w:space="0" w:color="auto"/>
          </w:divBdr>
        </w:div>
      </w:divsChild>
    </w:div>
    <w:div w:id="1961911495">
      <w:bodyDiv w:val="1"/>
      <w:marLeft w:val="0"/>
      <w:marRight w:val="0"/>
      <w:marTop w:val="0"/>
      <w:marBottom w:val="0"/>
      <w:divBdr>
        <w:top w:val="none" w:sz="0" w:space="0" w:color="auto"/>
        <w:left w:val="none" w:sz="0" w:space="0" w:color="auto"/>
        <w:bottom w:val="none" w:sz="0" w:space="0" w:color="auto"/>
        <w:right w:val="none" w:sz="0" w:space="0" w:color="auto"/>
      </w:divBdr>
    </w:div>
    <w:div w:id="1974099710">
      <w:bodyDiv w:val="1"/>
      <w:marLeft w:val="0"/>
      <w:marRight w:val="0"/>
      <w:marTop w:val="0"/>
      <w:marBottom w:val="0"/>
      <w:divBdr>
        <w:top w:val="none" w:sz="0" w:space="0" w:color="auto"/>
        <w:left w:val="none" w:sz="0" w:space="0" w:color="auto"/>
        <w:bottom w:val="none" w:sz="0" w:space="0" w:color="auto"/>
        <w:right w:val="none" w:sz="0" w:space="0" w:color="auto"/>
      </w:divBdr>
    </w:div>
    <w:div w:id="2011175261">
      <w:bodyDiv w:val="1"/>
      <w:marLeft w:val="0"/>
      <w:marRight w:val="0"/>
      <w:marTop w:val="0"/>
      <w:marBottom w:val="0"/>
      <w:divBdr>
        <w:top w:val="none" w:sz="0" w:space="0" w:color="auto"/>
        <w:left w:val="none" w:sz="0" w:space="0" w:color="auto"/>
        <w:bottom w:val="none" w:sz="0" w:space="0" w:color="auto"/>
        <w:right w:val="none" w:sz="0" w:space="0" w:color="auto"/>
      </w:divBdr>
    </w:div>
    <w:div w:id="2046902746">
      <w:bodyDiv w:val="1"/>
      <w:marLeft w:val="0"/>
      <w:marRight w:val="0"/>
      <w:marTop w:val="0"/>
      <w:marBottom w:val="0"/>
      <w:divBdr>
        <w:top w:val="none" w:sz="0" w:space="0" w:color="auto"/>
        <w:left w:val="none" w:sz="0" w:space="0" w:color="auto"/>
        <w:bottom w:val="none" w:sz="0" w:space="0" w:color="auto"/>
        <w:right w:val="none" w:sz="0" w:space="0" w:color="auto"/>
      </w:divBdr>
    </w:div>
    <w:div w:id="2058426560">
      <w:bodyDiv w:val="1"/>
      <w:marLeft w:val="0"/>
      <w:marRight w:val="0"/>
      <w:marTop w:val="0"/>
      <w:marBottom w:val="0"/>
      <w:divBdr>
        <w:top w:val="none" w:sz="0" w:space="0" w:color="auto"/>
        <w:left w:val="none" w:sz="0" w:space="0" w:color="auto"/>
        <w:bottom w:val="none" w:sz="0" w:space="0" w:color="auto"/>
        <w:right w:val="none" w:sz="0" w:space="0" w:color="auto"/>
      </w:divBdr>
    </w:div>
    <w:div w:id="2085445970">
      <w:bodyDiv w:val="1"/>
      <w:marLeft w:val="0"/>
      <w:marRight w:val="0"/>
      <w:marTop w:val="0"/>
      <w:marBottom w:val="0"/>
      <w:divBdr>
        <w:top w:val="none" w:sz="0" w:space="0" w:color="auto"/>
        <w:left w:val="none" w:sz="0" w:space="0" w:color="auto"/>
        <w:bottom w:val="none" w:sz="0" w:space="0" w:color="auto"/>
        <w:right w:val="none" w:sz="0" w:space="0" w:color="auto"/>
      </w:divBdr>
    </w:div>
    <w:div w:id="213667701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s://arxiv.org/pdf/1205.4667.pdf" TargetMode="External"/><Relationship Id="rId14" Type="http://schemas.openxmlformats.org/officeDocument/2006/relationships/hyperlink" Target="https://arxiv.org/abs/1512.02019" TargetMode="External"/><Relationship Id="rId15" Type="http://schemas.openxmlformats.org/officeDocument/2006/relationships/hyperlink" Target="https://en.wikipedia.org/wiki/Adler-32" TargetMode="External"/><Relationship Id="rId16" Type="http://schemas.openxmlformats.org/officeDocument/2006/relationships/hyperlink" Target="https://twiki.cern.ch/twiki/bin/view/TapeOperations/TapeAlerts" TargetMode="External"/><Relationship Id="rId17" Type="http://schemas.openxmlformats.org/officeDocument/2006/relationships/hyperlink" Target="http://cern.ch/tape-stats" TargetMode="External"/><Relationship Id="rId18" Type="http://schemas.openxmlformats.org/officeDocument/2006/relationships/hyperlink" Target="http://iopscience.iop.org/article/10.1088/1742-6596/664/4/042006" TargetMode="External"/><Relationship Id="rId19" Type="http://schemas.openxmlformats.org/officeDocument/2006/relationships/hyperlink" Target="http://wlcg.web.cern.ch/collaboration/mou" TargetMode="External"/><Relationship Id="rId63" Type="http://schemas.openxmlformats.org/officeDocument/2006/relationships/hyperlink" Target="https://en.wikipedia.org/wiki/ISO/IEC_27002" TargetMode="External"/><Relationship Id="rId64" Type="http://schemas.openxmlformats.org/officeDocument/2006/relationships/hyperlink" Target="https://security.web.cern.ch/security/rules/en/index.shtml" TargetMode="External"/><Relationship Id="rId65" Type="http://schemas.openxmlformats.org/officeDocument/2006/relationships/hyperlink" Target="https://security.web.cern.ch/security/recommendations/en/index.shtml" TargetMode="External"/><Relationship Id="rId66" Type="http://schemas.openxmlformats.org/officeDocument/2006/relationships/hyperlink" Target="https://security.web.cern.ch/security/training/en/index.shtml" TargetMode="External"/><Relationship Id="rId67" Type="http://schemas.openxmlformats.org/officeDocument/2006/relationships/hyperlink" Target="https://security.web.cern.ch/security/services/en/index.shtml" TargetMode="External"/><Relationship Id="rId68" Type="http://schemas.openxmlformats.org/officeDocument/2006/relationships/hyperlink" Target="https://security.web.cern.ch/security/reports/en/index.shtml" TargetMode="External"/><Relationship Id="rId69" Type="http://schemas.openxmlformats.org/officeDocument/2006/relationships/hyperlink" Target="https://security.web.cern.ch/security/rules/en/OC5_english.pdf" TargetMode="External"/><Relationship Id="rId50" Type="http://schemas.openxmlformats.org/officeDocument/2006/relationships/hyperlink" Target="http://eos.cern.ch" TargetMode="External"/><Relationship Id="rId51" Type="http://schemas.openxmlformats.org/officeDocument/2006/relationships/hyperlink" Target="http://cern.ch/service-backup" TargetMode="External"/><Relationship Id="rId52" Type="http://schemas.openxmlformats.org/officeDocument/2006/relationships/hyperlink" Target="http://cern.ch/service-backup" TargetMode="External"/><Relationship Id="rId53" Type="http://schemas.openxmlformats.org/officeDocument/2006/relationships/hyperlink" Target="https://edms.cern.ch/ui/file/1450735/1/IT-DB_backup_rules.pdf" TargetMode="External"/><Relationship Id="rId54" Type="http://schemas.openxmlformats.org/officeDocument/2006/relationships/hyperlink" Target="https://twiki.cern.ch/twiki/bin/view/TapeOperations/TapeVerification" TargetMode="External"/><Relationship Id="rId55" Type="http://schemas.openxmlformats.org/officeDocument/2006/relationships/hyperlink" Target="https://twiki.cern.ch/twiki/bin/view/TapeOperations/TapeVerifyProblemMedia" TargetMode="External"/><Relationship Id="rId56" Type="http://schemas.openxmlformats.org/officeDocument/2006/relationships/hyperlink" Target="https://twiki.cern.ch/twiki/bin/view/TapeOperations/ProblematicTapeWorkflow" TargetMode="External"/><Relationship Id="rId57" Type="http://schemas.openxmlformats.org/officeDocument/2006/relationships/hyperlink" Target="http://cern.ch/c5" TargetMode="External"/><Relationship Id="rId58" Type="http://schemas.openxmlformats.org/officeDocument/2006/relationships/hyperlink" Target="https://twiki.cern.ch/twiki/bin/view/LCG/WLCGOperationsMeetings" TargetMode="External"/><Relationship Id="rId59" Type="http://schemas.openxmlformats.org/officeDocument/2006/relationships/hyperlink" Target="http://www.ohwr.org/projects/dces-dtrhf-ser1ch-v1/wiki" TargetMode="External"/><Relationship Id="rId40" Type="http://schemas.openxmlformats.org/officeDocument/2006/relationships/hyperlink" Target="http://opendata.cern.ch/visualise/histograms/CMS" TargetMode="External"/><Relationship Id="rId41" Type="http://schemas.openxmlformats.org/officeDocument/2006/relationships/hyperlink" Target="http://opendata.cern.ch/search?cc=CMS-Tools" TargetMode="External"/><Relationship Id="rId42" Type="http://schemas.openxmlformats.org/officeDocument/2006/relationships/hyperlink" Target="https://www.spectralogic.com/2011/11/21/cern-evaluates-spectra-logic-tape-technology-to-store-large-hadron-collider-research-data/" TargetMode="External"/><Relationship Id="rId43" Type="http://schemas.openxmlformats.org/officeDocument/2006/relationships/hyperlink" Target="http://www.ioug.org/p/cm/ld/fid=148&amp;gid=632" TargetMode="External"/><Relationship Id="rId44" Type="http://schemas.openxmlformats.org/officeDocument/2006/relationships/hyperlink" Target="http://w3.hepix.org/bit-preservation/doku.php?id=bit-preservation:documentation" TargetMode="External"/><Relationship Id="rId45" Type="http://schemas.openxmlformats.org/officeDocument/2006/relationships/hyperlink" Target="http://www.insic.org/news/2015%20roadmap/15_25roadmap.html" TargetMode="External"/><Relationship Id="rId46" Type="http://schemas.openxmlformats.org/officeDocument/2006/relationships/hyperlink" Target="https://indico.cern.ch/event/570249/contributions/2404412/attachments/1400426/2137004/2017-01-23-HSFWorkshop-TechnologyEvolution.pdf" TargetMode="External"/><Relationship Id="rId47" Type="http://schemas.openxmlformats.org/officeDocument/2006/relationships/hyperlink" Target="http://iopscience.iop.org/article/10.1088/1742-6596/664/4/042043/pdf" TargetMode="External"/><Relationship Id="rId48" Type="http://schemas.openxmlformats.org/officeDocument/2006/relationships/hyperlink" Target="http://cern.ch/castor" TargetMode="External"/><Relationship Id="rId49" Type="http://schemas.openxmlformats.org/officeDocument/2006/relationships/hyperlink" Target="https://indico.cern.ch/event/505613/contributions/2230942/" TargetMode="Externa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cds.cern.ch/record/2195937/" TargetMode="External"/><Relationship Id="rId9" Type="http://schemas.openxmlformats.org/officeDocument/2006/relationships/hyperlink" Target="https://arxiv.org/pdf/1205.4667.pdf" TargetMode="External"/><Relationship Id="rId30" Type="http://schemas.openxmlformats.org/officeDocument/2006/relationships/hyperlink" Target="http://alice.physicsmasterclasses.org/MasterClassWebpage.html" TargetMode="External"/><Relationship Id="rId31" Type="http://schemas.openxmlformats.org/officeDocument/2006/relationships/hyperlink" Target="http://opendata.cern.ch/collection/CMS-Primary-Datasets" TargetMode="External"/><Relationship Id="rId32" Type="http://schemas.openxmlformats.org/officeDocument/2006/relationships/hyperlink" Target="http://opendata.cern.ch/about/CMS-Physics-Objects" TargetMode="External"/><Relationship Id="rId33" Type="http://schemas.openxmlformats.org/officeDocument/2006/relationships/hyperlink" Target="http://opendata.cern.ch/about/CMS" TargetMode="External"/><Relationship Id="rId34" Type="http://schemas.openxmlformats.org/officeDocument/2006/relationships/hyperlink" Target="http://opendata.cern.ch/about/CMS" TargetMode="External"/><Relationship Id="rId35" Type="http://schemas.openxmlformats.org/officeDocument/2006/relationships/hyperlink" Target="http://opendata.cern.ch/collection/CMS-Simulated-Datasets" TargetMode="External"/><Relationship Id="rId36" Type="http://schemas.openxmlformats.org/officeDocument/2006/relationships/hyperlink" Target="http://opendata.cern.ch/collection/CMS-Derived-Datasets" TargetMode="External"/><Relationship Id="rId37" Type="http://schemas.openxmlformats.org/officeDocument/2006/relationships/hyperlink" Target="http://opendata.cern.ch/VM/CMS" TargetMode="External"/><Relationship Id="rId38" Type="http://schemas.openxmlformats.org/officeDocument/2006/relationships/hyperlink" Target="http://opendata.cern.ch/getting-started/CMS" TargetMode="External"/><Relationship Id="rId39" Type="http://schemas.openxmlformats.org/officeDocument/2006/relationships/hyperlink" Target="http://opendata.cern.ch/visualise/events/CMS" TargetMode="External"/><Relationship Id="rId70" Type="http://schemas.openxmlformats.org/officeDocument/2006/relationships/hyperlink" Target="http://icfa.fnal.gov/wp-content/uploads/ICFA_Statement_on_DPHEP_wt.pdf" TargetMode="External"/><Relationship Id="rId71" Type="http://schemas.openxmlformats.org/officeDocument/2006/relationships/header" Target="header1.xml"/><Relationship Id="rId72" Type="http://schemas.openxmlformats.org/officeDocument/2006/relationships/fontTable" Target="fontTable.xml"/><Relationship Id="rId20" Type="http://schemas.openxmlformats.org/officeDocument/2006/relationships/hyperlink" Target="https://espace.cern.ch/WLCG-document-repository/Technical_Documents/TDR/LCG_TDR_v1_04.pdf" TargetMode="External"/><Relationship Id="rId21" Type="http://schemas.openxmlformats.org/officeDocument/2006/relationships/hyperlink" Target="https://cds.cern.ch/record/1695401/files/LCG-TDR-002.pdf" TargetMode="External"/><Relationship Id="rId22" Type="http://schemas.openxmlformats.org/officeDocument/2006/relationships/hyperlink" Target="https://cds.cern.ch/record/1695401/files/LCG-TDR-002.pdf" TargetMode="External"/><Relationship Id="rId23" Type="http://schemas.openxmlformats.org/officeDocument/2006/relationships/hyperlink" Target="http://opendata.cern.ch/" TargetMode="External"/><Relationship Id="rId24" Type="http://schemas.openxmlformats.org/officeDocument/2006/relationships/hyperlink" Target="http://hep-project-dphep-portal.web.cern.ch/content/large-electron-positron-collider-lep" TargetMode="External"/><Relationship Id="rId25" Type="http://schemas.openxmlformats.org/officeDocument/2006/relationships/hyperlink" Target="http://opendata.cern.ch/collection/ALICE-Reconstructed-Data" TargetMode="External"/><Relationship Id="rId26" Type="http://schemas.openxmlformats.org/officeDocument/2006/relationships/hyperlink" Target="http://opendata.cern.ch/collection/ALICE-Derived-Datasets" TargetMode="External"/><Relationship Id="rId27" Type="http://schemas.openxmlformats.org/officeDocument/2006/relationships/hyperlink" Target="http://opendata.cern.ch/VM/ALICE" TargetMode="External"/><Relationship Id="rId28" Type="http://schemas.openxmlformats.org/officeDocument/2006/relationships/hyperlink" Target="http://opendata.cern.ch/getting-started/ALICE" TargetMode="External"/><Relationship Id="rId29" Type="http://schemas.openxmlformats.org/officeDocument/2006/relationships/hyperlink" Target="http://aliweb.cern.ch/Offline/Activities/Analysis/AnalysisFramework/index.html" TargetMode="External"/><Relationship Id="rId73" Type="http://schemas.openxmlformats.org/officeDocument/2006/relationships/theme" Target="theme/theme1.xml"/><Relationship Id="rId74" Type="http://schemas.microsoft.com/office/2011/relationships/people" Target="people.xml"/><Relationship Id="rId60" Type="http://schemas.openxmlformats.org/officeDocument/2006/relationships/hyperlink" Target="http://indico.cern.ch/event/104191/overview" TargetMode="External"/><Relationship Id="rId61" Type="http://schemas.openxmlformats.org/officeDocument/2006/relationships/hyperlink" Target="http://iopscience.iop.org/article/10.1088/1742-6596/513/4/042028/pdf" TargetMode="External"/><Relationship Id="rId62" Type="http://schemas.openxmlformats.org/officeDocument/2006/relationships/hyperlink" Target="http://iopscience.iop.org/article/10.1088/1742-6596/664/4/042006" TargetMode="External"/><Relationship Id="rId10" Type="http://schemas.openxmlformats.org/officeDocument/2006/relationships/hyperlink" Target="https://arxiv.org/abs/1512.02019" TargetMode="External"/><Relationship Id="rId11" Type="http://schemas.openxmlformats.org/officeDocument/2006/relationships/hyperlink" Target="http://opendata.cern.ch/" TargetMode="External"/><Relationship Id="rId12" Type="http://schemas.openxmlformats.org/officeDocument/2006/relationships/hyperlink" Target="http://opendata.cern.ch/resour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29</Pages>
  <Words>10563</Words>
  <Characters>60213</Characters>
  <Application>Microsoft Macintosh Word</Application>
  <DocSecurity>0</DocSecurity>
  <Lines>501</Lines>
  <Paragraphs>141</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70635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Shiers</dc:creator>
  <cp:keywords/>
  <dc:description/>
  <cp:lastModifiedBy>Jamie Shiers</cp:lastModifiedBy>
  <cp:revision>5</cp:revision>
  <cp:lastPrinted>2017-09-18T07:40:00Z</cp:lastPrinted>
  <dcterms:created xsi:type="dcterms:W3CDTF">2017-09-20T10:30:00Z</dcterms:created>
  <dcterms:modified xsi:type="dcterms:W3CDTF">2017-09-21T08:45:00Z</dcterms:modified>
</cp:coreProperties>
</file>