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1029E1" w:rsidP="00165665">
      <w:pPr>
        <w:pStyle w:val="Heading1"/>
      </w:pPr>
      <w:r>
        <w:t>DIPOLE RETRAinING FOR 7 TEV</w:t>
      </w:r>
    </w:p>
    <w:p w:rsidR="00165665" w:rsidRPr="001029E1" w:rsidRDefault="00225541" w:rsidP="00165665">
      <w:pPr>
        <w:pStyle w:val="AuthorList"/>
        <w:rPr>
          <w:kern w:val="16"/>
          <w:lang w:val="en-US"/>
        </w:rPr>
        <w:sectPr w:rsidR="00165665" w:rsidRPr="001029E1"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Pr>
          <w:kern w:val="16"/>
          <w:lang w:val="en-US"/>
        </w:rPr>
        <w:t xml:space="preserve">C. </w:t>
      </w:r>
      <w:proofErr w:type="spellStart"/>
      <w:r>
        <w:rPr>
          <w:kern w:val="16"/>
          <w:lang w:val="en-US"/>
        </w:rPr>
        <w:t>Lorin</w:t>
      </w:r>
      <w:proofErr w:type="spellEnd"/>
      <w:r>
        <w:rPr>
          <w:kern w:val="16"/>
          <w:lang w:val="en-US"/>
        </w:rPr>
        <w:t xml:space="preserve">, </w:t>
      </w:r>
      <w:r w:rsidR="001029E1" w:rsidRPr="006A2B5C">
        <w:rPr>
          <w:kern w:val="16"/>
          <w:lang w:val="en-US"/>
        </w:rPr>
        <w:t xml:space="preserve">E. </w:t>
      </w:r>
      <w:proofErr w:type="spellStart"/>
      <w:r w:rsidR="001029E1" w:rsidRPr="006A2B5C">
        <w:rPr>
          <w:kern w:val="16"/>
          <w:lang w:val="en-US"/>
        </w:rPr>
        <w:t>Todesco</w:t>
      </w:r>
      <w:proofErr w:type="spellEnd"/>
      <w:r w:rsidR="00165665" w:rsidRPr="001029E1">
        <w:rPr>
          <w:kern w:val="16"/>
          <w:lang w:val="en-US"/>
        </w:rPr>
        <w:t xml:space="preserve">, CERN, Geneva, </w:t>
      </w:r>
      <w:r w:rsidR="00165665" w:rsidRPr="001029E1">
        <w:rPr>
          <w:lang w:val="en-US"/>
        </w:rPr>
        <w:t>Switzerland</w:t>
      </w:r>
    </w:p>
    <w:p w:rsidR="00165665" w:rsidRDefault="00165665" w:rsidP="00165665">
      <w:pPr>
        <w:pStyle w:val="AbstractTitle"/>
        <w:rPr>
          <w:kern w:val="16"/>
        </w:rPr>
      </w:pPr>
      <w:r>
        <w:rPr>
          <w:kern w:val="16"/>
        </w:rPr>
        <w:lastRenderedPageBreak/>
        <w:t>Abstract</w:t>
      </w:r>
    </w:p>
    <w:p w:rsidR="00165665" w:rsidRPr="001029E1" w:rsidRDefault="001029E1" w:rsidP="001029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w:iCs/>
          <w:color w:val="333333"/>
          <w:szCs w:val="20"/>
          <w:lang w:val="en-US" w:eastAsia="fr-CH"/>
        </w:rPr>
      </w:pPr>
      <w:r w:rsidRPr="001029E1">
        <w:rPr>
          <w:rFonts w:cs="Times"/>
          <w:iCs/>
          <w:color w:val="333333"/>
          <w:szCs w:val="20"/>
          <w:lang w:val="en-US" w:eastAsia="fr-CH"/>
        </w:rPr>
        <w:t>We outline the present understanding of the retraining of the main dipoles in the LHC sector 5-6 during 2008 hardware commissioning. Even though part of the observed retraining can be explained through the test of individual magnets taken during the production, there is an additional unexplained detraining.</w:t>
      </w:r>
      <w:r w:rsidR="006A2B5C">
        <w:rPr>
          <w:rFonts w:cs="Times"/>
          <w:iCs/>
          <w:color w:val="333333"/>
          <w:szCs w:val="20"/>
          <w:lang w:val="en-US" w:eastAsia="fr-CH"/>
        </w:rPr>
        <w:t xml:space="preserve"> The energy of </w:t>
      </w:r>
      <w:r w:rsidRPr="001029E1">
        <w:rPr>
          <w:rFonts w:cs="Times"/>
          <w:iCs/>
          <w:color w:val="333333"/>
          <w:szCs w:val="20"/>
          <w:lang w:val="en-US" w:eastAsia="fr-CH"/>
        </w:rPr>
        <w:t xml:space="preserve">6.5 </w:t>
      </w:r>
      <w:proofErr w:type="spellStart"/>
      <w:r w:rsidRPr="001029E1">
        <w:rPr>
          <w:rFonts w:cs="Times"/>
          <w:iCs/>
          <w:color w:val="333333"/>
          <w:szCs w:val="20"/>
          <w:lang w:val="en-US" w:eastAsia="fr-CH"/>
        </w:rPr>
        <w:t>TeV</w:t>
      </w:r>
      <w:proofErr w:type="spellEnd"/>
      <w:r w:rsidRPr="001029E1">
        <w:rPr>
          <w:rFonts w:cs="Times"/>
          <w:iCs/>
          <w:color w:val="333333"/>
          <w:szCs w:val="20"/>
          <w:lang w:val="en-US" w:eastAsia="fr-CH"/>
        </w:rPr>
        <w:t xml:space="preserve"> seems clearly at hand with a very limited retraining. We present the best estimates of the training needed to reach the range 6.5-7 </w:t>
      </w:r>
      <w:proofErr w:type="spellStart"/>
      <w:r w:rsidRPr="001029E1">
        <w:rPr>
          <w:rFonts w:cs="Times"/>
          <w:iCs/>
          <w:color w:val="333333"/>
          <w:szCs w:val="20"/>
          <w:lang w:val="en-US" w:eastAsia="fr-CH"/>
        </w:rPr>
        <w:t>TeV</w:t>
      </w:r>
      <w:proofErr w:type="spellEnd"/>
      <w:r w:rsidRPr="001029E1">
        <w:rPr>
          <w:rFonts w:cs="Times"/>
          <w:iCs/>
          <w:color w:val="333333"/>
          <w:szCs w:val="20"/>
          <w:lang w:val="en-US" w:eastAsia="fr-CH"/>
        </w:rPr>
        <w:t xml:space="preserve">, using different methods. We then </w:t>
      </w:r>
      <w:proofErr w:type="spellStart"/>
      <w:r w:rsidRPr="001029E1">
        <w:rPr>
          <w:rFonts w:cs="Times"/>
          <w:iCs/>
          <w:color w:val="333333"/>
          <w:szCs w:val="20"/>
          <w:lang w:val="en-US" w:eastAsia="fr-CH"/>
        </w:rPr>
        <w:t>analyse</w:t>
      </w:r>
      <w:proofErr w:type="spellEnd"/>
      <w:r w:rsidRPr="001029E1">
        <w:rPr>
          <w:rFonts w:cs="Times"/>
          <w:iCs/>
          <w:color w:val="333333"/>
          <w:szCs w:val="20"/>
          <w:lang w:val="en-US" w:eastAsia="fr-CH"/>
        </w:rPr>
        <w:t xml:space="preserve"> correlations between performance and production procedures and components: the present stage of analysis does not show any trace of correlations, but the analysis is not yet completed. There is also no indication of a correlation with the storage time. </w:t>
      </w:r>
    </w:p>
    <w:p w:rsidR="00165665" w:rsidRDefault="006A2B5C" w:rsidP="00165665">
      <w:pPr>
        <w:pStyle w:val="Heading2"/>
        <w:spacing w:before="180"/>
      </w:pPr>
      <w:r>
        <w:t>INTRODUCTION</w:t>
      </w:r>
    </w:p>
    <w:p w:rsidR="00694AB5" w:rsidRDefault="00911AAA" w:rsidP="00694AB5">
      <w:pPr>
        <w:pStyle w:val="BodyTextIndent"/>
        <w:rPr>
          <w:kern w:val="16"/>
        </w:rPr>
      </w:pPr>
      <w:r>
        <w:rPr>
          <w:kern w:val="16"/>
        </w:rPr>
        <w:t xml:space="preserve">During the 2008 hardware commissioning campaign, all the LHC dipole sectors were brought to a current equivalent to an energy of 5 </w:t>
      </w:r>
      <w:proofErr w:type="spellStart"/>
      <w:r>
        <w:rPr>
          <w:kern w:val="16"/>
        </w:rPr>
        <w:t>TeV</w:t>
      </w:r>
      <w:proofErr w:type="spellEnd"/>
      <w:r w:rsidR="00963F80">
        <w:rPr>
          <w:kern w:val="16"/>
        </w:rPr>
        <w:t xml:space="preserve"> [1</w:t>
      </w:r>
      <w:r w:rsidR="00394008">
        <w:rPr>
          <w:kern w:val="16"/>
        </w:rPr>
        <w:t>,2</w:t>
      </w:r>
      <w:r w:rsidR="00963F80">
        <w:rPr>
          <w:kern w:val="16"/>
        </w:rPr>
        <w:t>]</w:t>
      </w:r>
      <w:r>
        <w:rPr>
          <w:kern w:val="16"/>
        </w:rPr>
        <w:t xml:space="preserve">. Six of them were brought to 5.5 </w:t>
      </w:r>
      <w:proofErr w:type="spellStart"/>
      <w:r>
        <w:rPr>
          <w:kern w:val="16"/>
        </w:rPr>
        <w:t>TeV</w:t>
      </w:r>
      <w:proofErr w:type="spellEnd"/>
      <w:r>
        <w:rPr>
          <w:kern w:val="16"/>
        </w:rPr>
        <w:t xml:space="preserve"> after a minimal training of one quench in 2 magnets (out of 924). Two sectors reached 6 </w:t>
      </w:r>
      <w:proofErr w:type="spellStart"/>
      <w:r>
        <w:rPr>
          <w:kern w:val="16"/>
        </w:rPr>
        <w:t>TeV</w:t>
      </w:r>
      <w:proofErr w:type="spellEnd"/>
      <w:r>
        <w:rPr>
          <w:kern w:val="16"/>
        </w:rPr>
        <w:t xml:space="preserve"> with 3 quenches. Sector 5-6 was intentionally pushed further to see the limiting factors</w:t>
      </w:r>
      <w:r w:rsidR="00AF09C5">
        <w:rPr>
          <w:kern w:val="16"/>
        </w:rPr>
        <w:t xml:space="preserve"> (see Fig. 1)</w:t>
      </w:r>
      <w:r>
        <w:rPr>
          <w:kern w:val="16"/>
        </w:rPr>
        <w:t xml:space="preserve">. The </w:t>
      </w:r>
      <w:r w:rsidR="00AF09C5">
        <w:rPr>
          <w:kern w:val="16"/>
        </w:rPr>
        <w:t>sector rapidly reach</w:t>
      </w:r>
      <w:r w:rsidR="00963F80">
        <w:rPr>
          <w:kern w:val="16"/>
        </w:rPr>
        <w:t xml:space="preserve">ed </w:t>
      </w:r>
      <w:r w:rsidR="006A2B5C">
        <w:rPr>
          <w:kern w:val="16"/>
        </w:rPr>
        <w:t xml:space="preserve">6.2 </w:t>
      </w:r>
      <w:proofErr w:type="spellStart"/>
      <w:r w:rsidR="006A2B5C">
        <w:rPr>
          <w:kern w:val="16"/>
        </w:rPr>
        <w:t>TeV</w:t>
      </w:r>
      <w:proofErr w:type="spellEnd"/>
      <w:r w:rsidR="006A2B5C">
        <w:rPr>
          <w:kern w:val="16"/>
        </w:rPr>
        <w:t xml:space="preserve"> (corresponding to </w:t>
      </w:r>
      <w:r w:rsidR="00963F80">
        <w:rPr>
          <w:kern w:val="16"/>
        </w:rPr>
        <w:t>10.5 kA</w:t>
      </w:r>
      <w:r w:rsidR="006A2B5C">
        <w:rPr>
          <w:kern w:val="16"/>
        </w:rPr>
        <w:t>)</w:t>
      </w:r>
      <w:r w:rsidR="00963F80">
        <w:rPr>
          <w:kern w:val="16"/>
        </w:rPr>
        <w:t xml:space="preserve"> in a few quenches</w:t>
      </w:r>
      <w:r w:rsidR="00AF09C5">
        <w:rPr>
          <w:kern w:val="16"/>
        </w:rPr>
        <w:t xml:space="preserve">. Then, a slow training took place, with 6.5 </w:t>
      </w:r>
      <w:proofErr w:type="spellStart"/>
      <w:r w:rsidR="00AF09C5">
        <w:rPr>
          <w:kern w:val="16"/>
        </w:rPr>
        <w:t>TeV</w:t>
      </w:r>
      <w:proofErr w:type="spellEnd"/>
      <w:r w:rsidR="00AF09C5">
        <w:rPr>
          <w:kern w:val="16"/>
        </w:rPr>
        <w:t xml:space="preserve"> reached after </w:t>
      </w:r>
      <w:r w:rsidR="00AF09C5">
        <w:rPr>
          <w:kern w:val="16"/>
        </w:rPr>
        <w:sym w:font="Symbol" w:char="F07E"/>
      </w:r>
      <w:r w:rsidR="00AF09C5">
        <w:rPr>
          <w:kern w:val="16"/>
        </w:rPr>
        <w:t xml:space="preserve">20 quenches, and 6.6 </w:t>
      </w:r>
      <w:proofErr w:type="spellStart"/>
      <w:r w:rsidR="00AF09C5">
        <w:rPr>
          <w:kern w:val="16"/>
        </w:rPr>
        <w:t>TeV</w:t>
      </w:r>
      <w:proofErr w:type="spellEnd"/>
      <w:r w:rsidR="00AF09C5">
        <w:rPr>
          <w:kern w:val="16"/>
        </w:rPr>
        <w:t xml:space="preserve"> </w:t>
      </w:r>
      <w:r w:rsidR="00963F80">
        <w:rPr>
          <w:kern w:val="16"/>
        </w:rPr>
        <w:t xml:space="preserve">after </w:t>
      </w:r>
      <w:r w:rsidR="00AF09C5">
        <w:rPr>
          <w:kern w:val="16"/>
        </w:rPr>
        <w:t xml:space="preserve">nearly 30 quenches. The training was then stopped. Quenches all happened in different magnets, with a possible exception of one case. </w:t>
      </w:r>
      <w:r w:rsidR="00963F80">
        <w:rPr>
          <w:kern w:val="16"/>
        </w:rPr>
        <w:t>The</w:t>
      </w:r>
      <w:r w:rsidR="00AF09C5">
        <w:rPr>
          <w:kern w:val="16"/>
        </w:rPr>
        <w:t xml:space="preserve"> </w:t>
      </w:r>
      <w:r w:rsidR="006A2B5C">
        <w:rPr>
          <w:kern w:val="16"/>
        </w:rPr>
        <w:t xml:space="preserve">apparently </w:t>
      </w:r>
      <w:r w:rsidR="00324C72">
        <w:rPr>
          <w:kern w:val="16"/>
        </w:rPr>
        <w:t>odd feature</w:t>
      </w:r>
      <w:r w:rsidR="00AF09C5">
        <w:rPr>
          <w:kern w:val="16"/>
        </w:rPr>
        <w:t xml:space="preserve"> is that nearly all quenches happened in the magnets assembled by Firm3, two only from Firm2 and none from Firm1. Even though this sector contained 55% magnets from Firm3, with respect to the 1/3 ratio present in the whole machine, </w:t>
      </w:r>
      <w:r w:rsidR="00694AB5">
        <w:rPr>
          <w:kern w:val="16"/>
        </w:rPr>
        <w:t>this larger rat</w:t>
      </w:r>
      <w:r w:rsidR="00963F80">
        <w:rPr>
          <w:kern w:val="16"/>
        </w:rPr>
        <w:t>io is not enough to explain the</w:t>
      </w:r>
      <w:r w:rsidR="00694AB5">
        <w:rPr>
          <w:kern w:val="16"/>
        </w:rPr>
        <w:t xml:space="preserve"> overwhelming majority of Firm3 quenches.</w:t>
      </w:r>
      <w:r w:rsidR="00AF09C5">
        <w:rPr>
          <w:kern w:val="16"/>
        </w:rPr>
        <w:t xml:space="preserve"> </w:t>
      </w:r>
    </w:p>
    <w:p w:rsidR="00694AB5" w:rsidRDefault="00694AB5" w:rsidP="00694AB5">
      <w:pPr>
        <w:pStyle w:val="BodyTextIndent"/>
        <w:rPr>
          <w:kern w:val="16"/>
        </w:rPr>
      </w:pPr>
    </w:p>
    <w:p w:rsidR="00AF09C5" w:rsidRDefault="003F2A4D" w:rsidP="00694AB5">
      <w:pPr>
        <w:pStyle w:val="BodyTextIndent"/>
        <w:ind w:firstLine="0"/>
        <w:rPr>
          <w:kern w:val="16"/>
        </w:rPr>
      </w:pPr>
      <w:r w:rsidRPr="003F2A4D">
        <w:rPr>
          <w:noProof/>
          <w:lang w:val="en-US"/>
        </w:rPr>
        <w:drawing>
          <wp:inline distT="0" distB="0" distL="0" distR="0">
            <wp:extent cx="2968625" cy="1648302"/>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8625" cy="1648302"/>
                    </a:xfrm>
                    <a:prstGeom prst="rect">
                      <a:avLst/>
                    </a:prstGeom>
                    <a:noFill/>
                    <a:ln w="9525">
                      <a:noFill/>
                      <a:miter lim="800000"/>
                      <a:headEnd/>
                      <a:tailEnd/>
                    </a:ln>
                  </pic:spPr>
                </pic:pic>
              </a:graphicData>
            </a:graphic>
          </wp:inline>
        </w:drawing>
      </w:r>
    </w:p>
    <w:p w:rsidR="00694AB5" w:rsidRDefault="00694AB5" w:rsidP="00694AB5">
      <w:pPr>
        <w:pStyle w:val="BodyTextIndent"/>
        <w:jc w:val="center"/>
        <w:rPr>
          <w:kern w:val="16"/>
        </w:rPr>
      </w:pPr>
      <w:r w:rsidRPr="004A4577">
        <w:rPr>
          <w:kern w:val="16"/>
        </w:rPr>
        <w:t xml:space="preserve">Figure 1: </w:t>
      </w:r>
      <w:r>
        <w:rPr>
          <w:kern w:val="16"/>
        </w:rPr>
        <w:t xml:space="preserve">Training of sector 5-6 during </w:t>
      </w:r>
      <w:r w:rsidR="00803D55">
        <w:rPr>
          <w:kern w:val="16"/>
        </w:rPr>
        <w:t>2008 hardware commissioning [1</w:t>
      </w:r>
      <w:proofErr w:type="gramStart"/>
      <w:r w:rsidR="00394008">
        <w:rPr>
          <w:kern w:val="16"/>
        </w:rPr>
        <w:t>,2</w:t>
      </w:r>
      <w:proofErr w:type="gramEnd"/>
      <w:r>
        <w:rPr>
          <w:kern w:val="16"/>
        </w:rPr>
        <w:t>].</w:t>
      </w:r>
    </w:p>
    <w:p w:rsidR="00694AB5" w:rsidRDefault="00694AB5" w:rsidP="00165665">
      <w:pPr>
        <w:pStyle w:val="BodyTextIndent"/>
        <w:rPr>
          <w:kern w:val="16"/>
        </w:rPr>
      </w:pPr>
    </w:p>
    <w:p w:rsidR="006A2B5C" w:rsidRDefault="00694AB5" w:rsidP="00165665">
      <w:pPr>
        <w:pStyle w:val="BodyTextIndent"/>
        <w:rPr>
          <w:kern w:val="16"/>
        </w:rPr>
      </w:pPr>
      <w:r>
        <w:rPr>
          <w:kern w:val="16"/>
        </w:rPr>
        <w:t>The criti</w:t>
      </w:r>
      <w:r w:rsidR="00963F80">
        <w:rPr>
          <w:kern w:val="16"/>
        </w:rPr>
        <w:t xml:space="preserve">cal missing information is </w:t>
      </w:r>
      <w:r>
        <w:rPr>
          <w:kern w:val="16"/>
        </w:rPr>
        <w:t xml:space="preserve">how the other sectors would have trained in the 10-12 kA range. Other relevant issues </w:t>
      </w:r>
      <w:r w:rsidR="006A2B5C">
        <w:rPr>
          <w:kern w:val="16"/>
        </w:rPr>
        <w:t xml:space="preserve">related to the training retention </w:t>
      </w:r>
      <w:r>
        <w:rPr>
          <w:kern w:val="16"/>
        </w:rPr>
        <w:t xml:space="preserve">are the </w:t>
      </w:r>
      <w:r>
        <w:rPr>
          <w:kern w:val="16"/>
        </w:rPr>
        <w:lastRenderedPageBreak/>
        <w:t>following one</w:t>
      </w:r>
      <w:r w:rsidR="00963F80">
        <w:rPr>
          <w:kern w:val="16"/>
        </w:rPr>
        <w:t>s: (</w:t>
      </w:r>
      <w:proofErr w:type="spellStart"/>
      <w:r w:rsidR="00963F80">
        <w:rPr>
          <w:kern w:val="16"/>
        </w:rPr>
        <w:t>i</w:t>
      </w:r>
      <w:proofErr w:type="spellEnd"/>
      <w:r w:rsidR="00963F80">
        <w:rPr>
          <w:kern w:val="16"/>
        </w:rPr>
        <w:t>) I</w:t>
      </w:r>
      <w:r>
        <w:rPr>
          <w:kern w:val="16"/>
        </w:rPr>
        <w:t xml:space="preserve">s this a </w:t>
      </w:r>
      <w:r w:rsidR="00963F80">
        <w:rPr>
          <w:kern w:val="16"/>
        </w:rPr>
        <w:t>problem of Firm3 magnets? (ii) I</w:t>
      </w:r>
      <w:r>
        <w:rPr>
          <w:kern w:val="16"/>
        </w:rPr>
        <w:t>f yes, is this the problem of all Firm3 mag</w:t>
      </w:r>
      <w:r w:rsidR="00963F80">
        <w:rPr>
          <w:kern w:val="16"/>
        </w:rPr>
        <w:t>nets or only of a batch? (iii) W</w:t>
      </w:r>
      <w:r>
        <w:rPr>
          <w:kern w:val="16"/>
        </w:rPr>
        <w:t>hat is going to happen after warm-up and cool-down? Wil</w:t>
      </w:r>
      <w:r w:rsidR="00963F80">
        <w:rPr>
          <w:kern w:val="16"/>
        </w:rPr>
        <w:t>l</w:t>
      </w:r>
      <w:r>
        <w:rPr>
          <w:kern w:val="16"/>
        </w:rPr>
        <w:t xml:space="preserve"> it be necessary to train aga</w:t>
      </w:r>
      <w:r w:rsidR="00963F80">
        <w:rPr>
          <w:kern w:val="16"/>
        </w:rPr>
        <w:t xml:space="preserve">in in the range 10-12 kA? </w:t>
      </w:r>
      <w:proofErr w:type="gramStart"/>
      <w:r w:rsidR="00963F80">
        <w:rPr>
          <w:kern w:val="16"/>
        </w:rPr>
        <w:t>(iv) A</w:t>
      </w:r>
      <w:r>
        <w:rPr>
          <w:kern w:val="16"/>
        </w:rPr>
        <w:t>re</w:t>
      </w:r>
      <w:proofErr w:type="gramEnd"/>
      <w:r>
        <w:rPr>
          <w:kern w:val="16"/>
        </w:rPr>
        <w:t xml:space="preserve"> these quenches in the straight part of the magnet or in the head, as most of the quenches in the LHC dipoles?</w:t>
      </w:r>
      <w:r w:rsidR="006A2B5C" w:rsidRPr="006A2B5C">
        <w:rPr>
          <w:kern w:val="16"/>
        </w:rPr>
        <w:t xml:space="preserve"> </w:t>
      </w:r>
    </w:p>
    <w:p w:rsidR="00694AB5" w:rsidRDefault="006A2B5C" w:rsidP="00165665">
      <w:pPr>
        <w:pStyle w:val="BodyTextIndent"/>
        <w:rPr>
          <w:kern w:val="16"/>
        </w:rPr>
      </w:pPr>
      <w:r>
        <w:rPr>
          <w:kern w:val="16"/>
        </w:rPr>
        <w:t>The LHC incident of September 19</w:t>
      </w:r>
      <w:r w:rsidRPr="00694AB5">
        <w:rPr>
          <w:kern w:val="16"/>
          <w:vertAlign w:val="superscript"/>
        </w:rPr>
        <w:t>th</w:t>
      </w:r>
      <w:r>
        <w:rPr>
          <w:kern w:val="16"/>
        </w:rPr>
        <w:t xml:space="preserve"> </w:t>
      </w:r>
      <w:r w:rsidR="00A64116">
        <w:rPr>
          <w:kern w:val="16"/>
        </w:rPr>
        <w:t xml:space="preserve">2008 </w:t>
      </w:r>
      <w:r>
        <w:rPr>
          <w:kern w:val="16"/>
        </w:rPr>
        <w:t xml:space="preserve">and the discovery of the weaknesses in the accelerator prevented from pushing the other sectors to higher current levels. According to the present plan the LHC will not be pushed to energies beyond 3.5 </w:t>
      </w:r>
      <w:proofErr w:type="spellStart"/>
      <w:r>
        <w:rPr>
          <w:kern w:val="16"/>
        </w:rPr>
        <w:t>TeV</w:t>
      </w:r>
      <w:proofErr w:type="spellEnd"/>
      <w:r>
        <w:rPr>
          <w:kern w:val="16"/>
        </w:rPr>
        <w:t xml:space="preserve"> before 2013.</w:t>
      </w:r>
    </w:p>
    <w:p w:rsidR="00165665" w:rsidRDefault="00911AAA" w:rsidP="00165665">
      <w:pPr>
        <w:pStyle w:val="Heading2"/>
        <w:spacing w:before="180"/>
      </w:pPr>
      <w:r>
        <w:t>Forecast to reach 7 TeV</w:t>
      </w:r>
    </w:p>
    <w:p w:rsidR="00D510DE" w:rsidRDefault="00D510DE" w:rsidP="00D510DE">
      <w:pPr>
        <w:pStyle w:val="Heading3"/>
        <w:rPr>
          <w:kern w:val="16"/>
        </w:rPr>
      </w:pPr>
      <w:proofErr w:type="spellStart"/>
      <w:r>
        <w:rPr>
          <w:kern w:val="16"/>
        </w:rPr>
        <w:t>MonteCarlo</w:t>
      </w:r>
      <w:proofErr w:type="spellEnd"/>
      <w:r>
        <w:rPr>
          <w:kern w:val="16"/>
        </w:rPr>
        <w:t xml:space="preserve"> method based on correlations between before and after thermal cycle</w:t>
      </w:r>
    </w:p>
    <w:p w:rsidR="00B46CC2" w:rsidRDefault="00694AB5" w:rsidP="00225541">
      <w:pPr>
        <w:pStyle w:val="BodyTextIndent"/>
        <w:rPr>
          <w:kern w:val="16"/>
        </w:rPr>
      </w:pPr>
      <w:r>
        <w:rPr>
          <w:kern w:val="16"/>
        </w:rPr>
        <w:t xml:space="preserve">After the 5-6 results, the training data of individual dipoles have been critically reviewed. In </w:t>
      </w:r>
      <w:r w:rsidR="00963F80">
        <w:rPr>
          <w:kern w:val="16"/>
        </w:rPr>
        <w:t xml:space="preserve">Ref. </w:t>
      </w:r>
      <w:r>
        <w:rPr>
          <w:kern w:val="16"/>
        </w:rPr>
        <w:t>[2</w:t>
      </w:r>
      <w:proofErr w:type="gramStart"/>
      <w:r w:rsidR="006A2B5C">
        <w:rPr>
          <w:kern w:val="16"/>
        </w:rPr>
        <w:t>,3</w:t>
      </w:r>
      <w:proofErr w:type="gramEnd"/>
      <w:r>
        <w:rPr>
          <w:kern w:val="16"/>
        </w:rPr>
        <w:t xml:space="preserve">], a </w:t>
      </w:r>
      <w:proofErr w:type="spellStart"/>
      <w:r>
        <w:rPr>
          <w:kern w:val="16"/>
        </w:rPr>
        <w:t>MonteCarlo</w:t>
      </w:r>
      <w:proofErr w:type="spellEnd"/>
      <w:r>
        <w:rPr>
          <w:kern w:val="16"/>
        </w:rPr>
        <w:t xml:space="preserve"> method has been proposed to estimate the needed training on the ground of the data of individual tests. </w:t>
      </w:r>
      <w:r w:rsidR="006A2B5C">
        <w:rPr>
          <w:kern w:val="16"/>
        </w:rPr>
        <w:t>During individual tests, a</w:t>
      </w:r>
      <w:r>
        <w:rPr>
          <w:kern w:val="16"/>
        </w:rPr>
        <w:t>ll dipoles were trained up to a level of current rangin</w:t>
      </w:r>
      <w:r w:rsidR="00963F80">
        <w:rPr>
          <w:kern w:val="16"/>
        </w:rPr>
        <w:t>g</w:t>
      </w:r>
      <w:r>
        <w:rPr>
          <w:kern w:val="16"/>
        </w:rPr>
        <w:t xml:space="preserve"> from 12 to 13 kA, </w:t>
      </w:r>
      <w:r w:rsidR="006A2B5C">
        <w:rPr>
          <w:kern w:val="16"/>
        </w:rPr>
        <w:t xml:space="preserve">i.e., well beyond nominal, </w:t>
      </w:r>
      <w:r>
        <w:rPr>
          <w:kern w:val="16"/>
        </w:rPr>
        <w:t>and about 10% of them went through a thermal cycle and successive training to estimate the training retention. Since the correlation in the behaviour before and after a thermal cycle</w:t>
      </w:r>
      <w:r w:rsidR="00324C72">
        <w:rPr>
          <w:kern w:val="16"/>
        </w:rPr>
        <w:t xml:space="preserve"> is not deterministic</w:t>
      </w:r>
      <w:r>
        <w:rPr>
          <w:kern w:val="16"/>
        </w:rPr>
        <w:t>, one has a</w:t>
      </w:r>
      <w:r w:rsidR="00225541">
        <w:rPr>
          <w:kern w:val="16"/>
        </w:rPr>
        <w:t>n</w:t>
      </w:r>
      <w:r>
        <w:rPr>
          <w:kern w:val="16"/>
        </w:rPr>
        <w:t xml:space="preserve"> intrinsic </w:t>
      </w:r>
      <w:r w:rsidR="00225541">
        <w:rPr>
          <w:kern w:val="16"/>
        </w:rPr>
        <w:t>variability</w:t>
      </w:r>
      <w:r>
        <w:rPr>
          <w:kern w:val="16"/>
        </w:rPr>
        <w:t xml:space="preserve"> </w:t>
      </w:r>
      <w:r w:rsidR="00225541">
        <w:rPr>
          <w:kern w:val="16"/>
        </w:rPr>
        <w:t xml:space="preserve">and therefore one needs a </w:t>
      </w:r>
      <w:proofErr w:type="spellStart"/>
      <w:r w:rsidR="00225541">
        <w:rPr>
          <w:kern w:val="16"/>
        </w:rPr>
        <w:t>MonteC</w:t>
      </w:r>
      <w:r w:rsidR="006A2B5C">
        <w:rPr>
          <w:kern w:val="16"/>
        </w:rPr>
        <w:t>arlo</w:t>
      </w:r>
      <w:proofErr w:type="spellEnd"/>
      <w:r w:rsidR="006A2B5C">
        <w:rPr>
          <w:kern w:val="16"/>
        </w:rPr>
        <w:t>. The method</w:t>
      </w:r>
      <w:r w:rsidR="00225541">
        <w:rPr>
          <w:kern w:val="16"/>
        </w:rPr>
        <w:t xml:space="preserve"> correctly estimates the level of the first quench in the range of 10 kA, and shows that to reach 11 kA one has to expect an overwhelming majority of Firm3 quenches (see Fig. 2). On the other hand, the sector should have reached 11.2 kA with </w:t>
      </w:r>
      <w:r w:rsidR="00225541">
        <w:rPr>
          <w:kern w:val="16"/>
        </w:rPr>
        <w:sym w:font="Symbol" w:char="F07E"/>
      </w:r>
      <w:r w:rsidR="00B46CC2">
        <w:rPr>
          <w:kern w:val="16"/>
        </w:rPr>
        <w:t>10 quenches of Firm3</w:t>
      </w:r>
      <w:r w:rsidR="00225541">
        <w:rPr>
          <w:kern w:val="16"/>
        </w:rPr>
        <w:t xml:space="preserve"> magnets, </w:t>
      </w:r>
      <w:r w:rsidR="00B46CC2">
        <w:rPr>
          <w:kern w:val="16"/>
        </w:rPr>
        <w:t xml:space="preserve">and not </w:t>
      </w:r>
      <w:r w:rsidR="00B46CC2">
        <w:rPr>
          <w:kern w:val="16"/>
        </w:rPr>
        <w:sym w:font="Symbol" w:char="F07E"/>
      </w:r>
      <w:r w:rsidR="00B46CC2">
        <w:rPr>
          <w:kern w:val="16"/>
        </w:rPr>
        <w:t>25. Moreover, the slope of training found during hardware commissionin</w:t>
      </w:r>
      <w:r w:rsidR="00D510DE">
        <w:rPr>
          <w:kern w:val="16"/>
        </w:rPr>
        <w:t>g is much lower than what given b</w:t>
      </w:r>
      <w:r w:rsidR="00B46CC2">
        <w:rPr>
          <w:kern w:val="16"/>
        </w:rPr>
        <w:t xml:space="preserve">y the </w:t>
      </w:r>
      <w:proofErr w:type="spellStart"/>
      <w:r w:rsidR="00B46CC2">
        <w:rPr>
          <w:kern w:val="16"/>
        </w:rPr>
        <w:t>MonteCarlo</w:t>
      </w:r>
      <w:proofErr w:type="spellEnd"/>
      <w:r w:rsidR="00803D55">
        <w:rPr>
          <w:kern w:val="16"/>
        </w:rPr>
        <w:t xml:space="preserve"> method</w:t>
      </w:r>
      <w:r w:rsidR="00B46CC2">
        <w:rPr>
          <w:kern w:val="16"/>
        </w:rPr>
        <w:t>.</w:t>
      </w:r>
    </w:p>
    <w:p w:rsidR="00694AB5" w:rsidRDefault="00225541" w:rsidP="00165665">
      <w:pPr>
        <w:pStyle w:val="BodyTextIndent"/>
        <w:rPr>
          <w:kern w:val="16"/>
        </w:rPr>
      </w:pPr>
      <w:r>
        <w:rPr>
          <w:kern w:val="16"/>
        </w:rPr>
        <w:t xml:space="preserve"> </w:t>
      </w:r>
    </w:p>
    <w:p w:rsidR="00694AB5" w:rsidRDefault="003F2A4D" w:rsidP="00225541">
      <w:pPr>
        <w:pStyle w:val="BodyTextIndent"/>
        <w:ind w:firstLine="0"/>
        <w:rPr>
          <w:kern w:val="16"/>
        </w:rPr>
      </w:pPr>
      <w:r w:rsidRPr="003F2A4D">
        <w:rPr>
          <w:noProof/>
          <w:lang w:val="en-US"/>
        </w:rPr>
        <w:drawing>
          <wp:inline distT="0" distB="0" distL="0" distR="0">
            <wp:extent cx="2968625" cy="1648302"/>
            <wp:effectExtent l="1905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68625" cy="1648302"/>
                    </a:xfrm>
                    <a:prstGeom prst="rect">
                      <a:avLst/>
                    </a:prstGeom>
                    <a:noFill/>
                    <a:ln w="9525">
                      <a:noFill/>
                      <a:miter lim="800000"/>
                      <a:headEnd/>
                      <a:tailEnd/>
                    </a:ln>
                  </pic:spPr>
                </pic:pic>
              </a:graphicData>
            </a:graphic>
          </wp:inline>
        </w:drawing>
      </w:r>
    </w:p>
    <w:p w:rsidR="00B46CC2" w:rsidRDefault="00B46CC2" w:rsidP="00B46CC2">
      <w:pPr>
        <w:pStyle w:val="BodyTextIndent"/>
        <w:jc w:val="center"/>
        <w:rPr>
          <w:kern w:val="16"/>
        </w:rPr>
      </w:pPr>
      <w:r w:rsidRPr="004A4577">
        <w:rPr>
          <w:kern w:val="16"/>
        </w:rPr>
        <w:t xml:space="preserve">Figure </w:t>
      </w:r>
      <w:r>
        <w:rPr>
          <w:kern w:val="16"/>
        </w:rPr>
        <w:t>2</w:t>
      </w:r>
      <w:r w:rsidRPr="004A4577">
        <w:rPr>
          <w:kern w:val="16"/>
        </w:rPr>
        <w:t xml:space="preserve">: </w:t>
      </w:r>
      <w:r>
        <w:rPr>
          <w:kern w:val="16"/>
        </w:rPr>
        <w:t xml:space="preserve">Training of sector 5-6 during </w:t>
      </w:r>
      <w:r w:rsidR="00803D55">
        <w:rPr>
          <w:kern w:val="16"/>
        </w:rPr>
        <w:t xml:space="preserve">2008 hardware commissioning </w:t>
      </w:r>
      <w:r w:rsidR="00A64116">
        <w:rPr>
          <w:kern w:val="16"/>
        </w:rPr>
        <w:t xml:space="preserve">versus </w:t>
      </w:r>
      <w:proofErr w:type="spellStart"/>
      <w:r w:rsidR="00A64116">
        <w:rPr>
          <w:kern w:val="16"/>
        </w:rPr>
        <w:t>MonteCarlo</w:t>
      </w:r>
      <w:proofErr w:type="spellEnd"/>
      <w:r w:rsidR="00A64116">
        <w:rPr>
          <w:kern w:val="16"/>
        </w:rPr>
        <w:t xml:space="preserve"> forecast </w:t>
      </w:r>
      <w:r w:rsidR="00803D55">
        <w:rPr>
          <w:kern w:val="16"/>
        </w:rPr>
        <w:t>[2</w:t>
      </w:r>
      <w:proofErr w:type="gramStart"/>
      <w:r w:rsidR="00803D55">
        <w:rPr>
          <w:kern w:val="16"/>
        </w:rPr>
        <w:t>,3</w:t>
      </w:r>
      <w:proofErr w:type="gramEnd"/>
      <w:r>
        <w:rPr>
          <w:kern w:val="16"/>
        </w:rPr>
        <w:t>].</w:t>
      </w:r>
    </w:p>
    <w:p w:rsidR="00AD3ED4" w:rsidRDefault="00AD3ED4" w:rsidP="00B46CC2">
      <w:pPr>
        <w:pStyle w:val="BodyTextIndent"/>
        <w:jc w:val="center"/>
        <w:rPr>
          <w:kern w:val="16"/>
        </w:rPr>
      </w:pPr>
    </w:p>
    <w:p w:rsidR="00AD3ED4" w:rsidRDefault="006A2B5C" w:rsidP="00AD3ED4">
      <w:pPr>
        <w:pStyle w:val="BodyTextIndent"/>
        <w:rPr>
          <w:kern w:val="16"/>
        </w:rPr>
      </w:pPr>
      <w:r>
        <w:rPr>
          <w:kern w:val="16"/>
        </w:rPr>
        <w:t>R</w:t>
      </w:r>
      <w:r w:rsidR="00AD3ED4">
        <w:rPr>
          <w:kern w:val="16"/>
        </w:rPr>
        <w:t xml:space="preserve">escaling the data </w:t>
      </w:r>
      <w:r w:rsidR="00803D55">
        <w:rPr>
          <w:kern w:val="16"/>
        </w:rPr>
        <w:t xml:space="preserve">of Fig. 2 </w:t>
      </w:r>
      <w:r w:rsidR="00AD3ED4">
        <w:rPr>
          <w:kern w:val="16"/>
        </w:rPr>
        <w:t xml:space="preserve">to the 1/3 ratio between dipole assemblers present in the whole machine, one can give an estimate of about 400 quenches needed to reach 7 </w:t>
      </w:r>
      <w:proofErr w:type="spellStart"/>
      <w:r w:rsidR="00AD3ED4">
        <w:rPr>
          <w:kern w:val="16"/>
        </w:rPr>
        <w:lastRenderedPageBreak/>
        <w:t>TeV</w:t>
      </w:r>
      <w:proofErr w:type="spellEnd"/>
      <w:r w:rsidR="00AD3ED4">
        <w:rPr>
          <w:kern w:val="16"/>
        </w:rPr>
        <w:t>, i.e. 50 quenches per octant</w:t>
      </w:r>
      <w:r w:rsidR="00803D55">
        <w:rPr>
          <w:kern w:val="16"/>
        </w:rPr>
        <w:t xml:space="preserve"> (see Table 1)</w:t>
      </w:r>
      <w:r w:rsidR="00AD3ED4">
        <w:rPr>
          <w:kern w:val="16"/>
        </w:rPr>
        <w:t xml:space="preserve">. This estimate </w:t>
      </w:r>
      <w:r w:rsidR="00A64116">
        <w:rPr>
          <w:kern w:val="16"/>
        </w:rPr>
        <w:t>looks</w:t>
      </w:r>
      <w:r w:rsidR="00AD3ED4">
        <w:rPr>
          <w:kern w:val="16"/>
        </w:rPr>
        <w:t xml:space="preserve"> optimist</w:t>
      </w:r>
      <w:r w:rsidR="00803D55">
        <w:rPr>
          <w:kern w:val="16"/>
        </w:rPr>
        <w:t>ic</w:t>
      </w:r>
      <w:r w:rsidR="00AD3ED4">
        <w:rPr>
          <w:kern w:val="16"/>
        </w:rPr>
        <w:t xml:space="preserve"> according to the 5-6 experience.</w:t>
      </w:r>
    </w:p>
    <w:p w:rsidR="00803D55" w:rsidRDefault="00803D55" w:rsidP="00AD3ED4">
      <w:pPr>
        <w:pStyle w:val="BodyTextIndent"/>
        <w:rPr>
          <w:kern w:val="16"/>
        </w:rPr>
      </w:pPr>
    </w:p>
    <w:p w:rsidR="00803D55" w:rsidRDefault="00803D55" w:rsidP="00A64116">
      <w:pPr>
        <w:pStyle w:val="TableCaption"/>
        <w:rPr>
          <w:kern w:val="16"/>
        </w:rPr>
      </w:pPr>
      <w:r>
        <w:rPr>
          <w:kern w:val="16"/>
        </w:rPr>
        <w:t xml:space="preserve">Table 1: Quenches needed to reach 7 </w:t>
      </w:r>
      <w:proofErr w:type="spellStart"/>
      <w:r>
        <w:rPr>
          <w:kern w:val="16"/>
        </w:rPr>
        <w:t>TeV</w:t>
      </w:r>
      <w:proofErr w:type="spellEnd"/>
      <w:r>
        <w:rPr>
          <w:kern w:val="16"/>
        </w:rPr>
        <w:t xml:space="preserve"> according to the </w:t>
      </w:r>
      <w:proofErr w:type="spellStart"/>
      <w:r>
        <w:rPr>
          <w:kern w:val="16"/>
        </w:rPr>
        <w:t>MonteCarlo</w:t>
      </w:r>
      <w:proofErr w:type="spellEnd"/>
      <w:r>
        <w:rPr>
          <w:kern w:val="16"/>
        </w:rPr>
        <w:t xml:space="preserve"> </w:t>
      </w:r>
      <w:proofErr w:type="spellStart"/>
      <w:r>
        <w:rPr>
          <w:kern w:val="16"/>
        </w:rPr>
        <w:t>method</w:t>
      </w:r>
      <w:r w:rsidR="00A64116">
        <w:rPr>
          <w:kern w:val="16"/>
        </w:rPr>
        <w:t>e</w:t>
      </w:r>
      <w:proofErr w:type="spellEnd"/>
      <w:r w:rsidR="003F2A4D" w:rsidRPr="003F2A4D">
        <w:rPr>
          <w:noProof/>
          <w:lang w:val="en-US"/>
        </w:rPr>
        <w:drawing>
          <wp:inline distT="0" distB="0" distL="0" distR="0">
            <wp:extent cx="2968625" cy="994934"/>
            <wp:effectExtent l="19050" t="0" r="317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68625" cy="994934"/>
                    </a:xfrm>
                    <a:prstGeom prst="rect">
                      <a:avLst/>
                    </a:prstGeom>
                    <a:noFill/>
                    <a:ln w="9525">
                      <a:noFill/>
                      <a:miter lim="800000"/>
                      <a:headEnd/>
                      <a:tailEnd/>
                    </a:ln>
                  </pic:spPr>
                </pic:pic>
              </a:graphicData>
            </a:graphic>
          </wp:inline>
        </w:drawing>
      </w:r>
    </w:p>
    <w:p w:rsidR="009338E6" w:rsidRDefault="009338E6" w:rsidP="009338E6">
      <w:pPr>
        <w:pStyle w:val="Heading3"/>
        <w:rPr>
          <w:kern w:val="16"/>
        </w:rPr>
      </w:pPr>
      <w:r>
        <w:rPr>
          <w:kern w:val="16"/>
        </w:rPr>
        <w:t>Scaling</w:t>
      </w:r>
    </w:p>
    <w:p w:rsidR="00AD3ED4" w:rsidRDefault="00AD3ED4" w:rsidP="008A284F">
      <w:pPr>
        <w:pStyle w:val="BodyTextIndent"/>
        <w:rPr>
          <w:kern w:val="16"/>
        </w:rPr>
      </w:pPr>
      <w:r>
        <w:rPr>
          <w:kern w:val="16"/>
        </w:rPr>
        <w:t xml:space="preserve">Previous estimates to reach 7 </w:t>
      </w:r>
      <w:proofErr w:type="spellStart"/>
      <w:r>
        <w:rPr>
          <w:kern w:val="16"/>
        </w:rPr>
        <w:t>TeV</w:t>
      </w:r>
      <w:proofErr w:type="spellEnd"/>
      <w:r>
        <w:rPr>
          <w:kern w:val="16"/>
        </w:rPr>
        <w:t xml:space="preserve"> were giving about 25 quenches per octant to reach nominal [</w:t>
      </w:r>
      <w:r w:rsidR="00803D55">
        <w:rPr>
          <w:kern w:val="16"/>
        </w:rPr>
        <w:t>4</w:t>
      </w:r>
      <w:r>
        <w:rPr>
          <w:kern w:val="16"/>
        </w:rPr>
        <w:t xml:space="preserve">]. </w:t>
      </w:r>
      <w:r w:rsidR="00803D55">
        <w:rPr>
          <w:kern w:val="16"/>
        </w:rPr>
        <w:t>This estimate was based on the following facts: (</w:t>
      </w:r>
      <w:proofErr w:type="spellStart"/>
      <w:r w:rsidR="00803D55">
        <w:rPr>
          <w:kern w:val="16"/>
        </w:rPr>
        <w:t>i</w:t>
      </w:r>
      <w:proofErr w:type="spellEnd"/>
      <w:r w:rsidR="00803D55">
        <w:rPr>
          <w:kern w:val="16"/>
        </w:rPr>
        <w:t xml:space="preserve">) </w:t>
      </w:r>
      <w:r>
        <w:rPr>
          <w:kern w:val="16"/>
        </w:rPr>
        <w:t>the whole set of 1232 dipole</w:t>
      </w:r>
      <w:r w:rsidR="00803D55">
        <w:rPr>
          <w:kern w:val="16"/>
        </w:rPr>
        <w:t>s</w:t>
      </w:r>
      <w:r>
        <w:rPr>
          <w:kern w:val="16"/>
        </w:rPr>
        <w:t xml:space="preserve"> </w:t>
      </w:r>
      <w:r w:rsidR="00803D55">
        <w:rPr>
          <w:kern w:val="16"/>
        </w:rPr>
        <w:t xml:space="preserve">takes </w:t>
      </w:r>
      <w:r>
        <w:rPr>
          <w:kern w:val="16"/>
        </w:rPr>
        <w:t>1</w:t>
      </w:r>
      <w:r w:rsidR="00803D55">
        <w:rPr>
          <w:kern w:val="16"/>
        </w:rPr>
        <w:t>.0</w:t>
      </w:r>
      <w:r>
        <w:rPr>
          <w:kern w:val="16"/>
        </w:rPr>
        <w:t xml:space="preserve"> quench</w:t>
      </w:r>
      <w:r w:rsidR="00803D55">
        <w:rPr>
          <w:kern w:val="16"/>
        </w:rPr>
        <w:t>es per magnet</w:t>
      </w:r>
      <w:r>
        <w:rPr>
          <w:kern w:val="16"/>
        </w:rPr>
        <w:t xml:space="preserve"> to reach nominal in virgin conditions, </w:t>
      </w:r>
      <w:r w:rsidR="00A64116">
        <w:rPr>
          <w:kern w:val="16"/>
        </w:rPr>
        <w:t xml:space="preserve">i.e. 154 quenches per sector; </w:t>
      </w:r>
      <w:r w:rsidR="00803D55">
        <w:rPr>
          <w:kern w:val="16"/>
        </w:rPr>
        <w:t xml:space="preserve">(ii) </w:t>
      </w:r>
      <w:r>
        <w:rPr>
          <w:kern w:val="16"/>
        </w:rPr>
        <w:t xml:space="preserve">the subset of </w:t>
      </w:r>
      <w:r w:rsidR="00751693">
        <w:rPr>
          <w:kern w:val="16"/>
        </w:rPr>
        <w:t xml:space="preserve">136 </w:t>
      </w:r>
      <w:r>
        <w:rPr>
          <w:kern w:val="16"/>
        </w:rPr>
        <w:t xml:space="preserve">dipoles tested after thermal cycle </w:t>
      </w:r>
      <w:r w:rsidR="00803D55">
        <w:rPr>
          <w:kern w:val="16"/>
        </w:rPr>
        <w:t xml:space="preserve">show </w:t>
      </w:r>
      <w:r>
        <w:rPr>
          <w:kern w:val="16"/>
        </w:rPr>
        <w:t xml:space="preserve">a reduction of the number of quenches to reach nominal of about 80% </w:t>
      </w:r>
      <w:r w:rsidR="00803D55">
        <w:rPr>
          <w:kern w:val="16"/>
        </w:rPr>
        <w:t xml:space="preserve">between virgin conditions and after thermal cycle </w:t>
      </w:r>
      <w:r>
        <w:rPr>
          <w:kern w:val="16"/>
        </w:rPr>
        <w:t>(</w:t>
      </w:r>
      <w:r w:rsidR="00751693">
        <w:rPr>
          <w:kern w:val="16"/>
        </w:rPr>
        <w:t xml:space="preserve">1.75 to 0.35, </w:t>
      </w:r>
      <w:r>
        <w:rPr>
          <w:kern w:val="16"/>
        </w:rPr>
        <w:t>see Figure 3)</w:t>
      </w:r>
      <w:r w:rsidR="00803D55">
        <w:rPr>
          <w:kern w:val="16"/>
        </w:rPr>
        <w:t>. Reducing the 1 quench per magnet of 80%, one g</w:t>
      </w:r>
      <w:r w:rsidR="008A284F">
        <w:rPr>
          <w:kern w:val="16"/>
        </w:rPr>
        <w:t xml:space="preserve">ets a </w:t>
      </w:r>
      <w:r>
        <w:rPr>
          <w:kern w:val="16"/>
        </w:rPr>
        <w:t xml:space="preserve">global estimate for the machine </w:t>
      </w:r>
      <w:r w:rsidR="008A284F">
        <w:rPr>
          <w:kern w:val="16"/>
        </w:rPr>
        <w:t xml:space="preserve">of </w:t>
      </w:r>
      <w:r>
        <w:rPr>
          <w:kern w:val="16"/>
        </w:rPr>
        <w:t xml:space="preserve">0.2 quenches per magnet, i.e. 30 quenches per sector. Since the dipoles to be tested after thermal cycle were selected </w:t>
      </w:r>
      <w:r w:rsidR="00A64116">
        <w:rPr>
          <w:kern w:val="16"/>
        </w:rPr>
        <w:t xml:space="preserve">between </w:t>
      </w:r>
      <w:r>
        <w:rPr>
          <w:kern w:val="16"/>
        </w:rPr>
        <w:t>the magnet</w:t>
      </w:r>
      <w:r w:rsidR="00751693">
        <w:rPr>
          <w:kern w:val="16"/>
        </w:rPr>
        <w:t>s</w:t>
      </w:r>
      <w:r>
        <w:rPr>
          <w:kern w:val="16"/>
        </w:rPr>
        <w:t xml:space="preserve"> showing poor performance in virgin conditions, a statistical bias was to be taken into account, leading to an estimate of 25 quenches per octant.</w:t>
      </w:r>
    </w:p>
    <w:p w:rsidR="00AD3ED4" w:rsidRDefault="00AD3ED4" w:rsidP="00165665">
      <w:pPr>
        <w:pStyle w:val="BodyTextIndent"/>
        <w:rPr>
          <w:kern w:val="16"/>
        </w:rPr>
      </w:pPr>
      <w:r>
        <w:rPr>
          <w:kern w:val="16"/>
        </w:rPr>
        <w:t>The same data can also be rescaled with a different, but equally sound, approach. Assuming no correlation in the behaviour before and after thermal cycle, one can apply the 0.35 quench</w:t>
      </w:r>
      <w:r w:rsidR="00751693">
        <w:rPr>
          <w:kern w:val="16"/>
        </w:rPr>
        <w:t>es</w:t>
      </w:r>
      <w:r>
        <w:rPr>
          <w:kern w:val="16"/>
        </w:rPr>
        <w:t xml:space="preserve"> per octant (see Figure 3) needed to reach nominal after thermal cycle</w:t>
      </w:r>
      <w:r w:rsidR="008A284F">
        <w:rPr>
          <w:kern w:val="16"/>
        </w:rPr>
        <w:t xml:space="preserve"> and measured on the sample </w:t>
      </w:r>
      <w:r>
        <w:rPr>
          <w:kern w:val="16"/>
        </w:rPr>
        <w:t xml:space="preserve"> as a property of the whole set of LHC dipoles. In this case the probability of quenching to reach 7 </w:t>
      </w:r>
      <w:proofErr w:type="spellStart"/>
      <w:r>
        <w:rPr>
          <w:kern w:val="16"/>
        </w:rPr>
        <w:t>TeV</w:t>
      </w:r>
      <w:proofErr w:type="spellEnd"/>
      <w:r>
        <w:rPr>
          <w:kern w:val="16"/>
        </w:rPr>
        <w:t xml:space="preserve"> is </w:t>
      </w:r>
      <w:r>
        <w:rPr>
          <w:kern w:val="16"/>
        </w:rPr>
        <w:sym w:font="Symbol" w:char="F07E"/>
      </w:r>
      <w:r>
        <w:rPr>
          <w:kern w:val="16"/>
        </w:rPr>
        <w:t xml:space="preserve">1/3, i.e. one needs 50 quenches per octant and the value of the </w:t>
      </w:r>
      <w:proofErr w:type="spellStart"/>
      <w:r>
        <w:rPr>
          <w:kern w:val="16"/>
        </w:rPr>
        <w:t>MonteCarlo</w:t>
      </w:r>
      <w:proofErr w:type="spellEnd"/>
      <w:r>
        <w:rPr>
          <w:kern w:val="16"/>
        </w:rPr>
        <w:t xml:space="preserve"> is recovered. </w:t>
      </w:r>
      <w:r w:rsidR="0021793D">
        <w:rPr>
          <w:kern w:val="16"/>
        </w:rPr>
        <w:t xml:space="preserve">This shows how these </w:t>
      </w:r>
      <w:proofErr w:type="spellStart"/>
      <w:r w:rsidR="0021793D">
        <w:rPr>
          <w:kern w:val="16"/>
        </w:rPr>
        <w:t>scaling</w:t>
      </w:r>
      <w:r w:rsidR="008A284F">
        <w:rPr>
          <w:kern w:val="16"/>
        </w:rPr>
        <w:t>s</w:t>
      </w:r>
      <w:proofErr w:type="spellEnd"/>
      <w:r w:rsidR="0021793D">
        <w:rPr>
          <w:kern w:val="16"/>
        </w:rPr>
        <w:t xml:space="preserve"> can be non trivial, containing hidden hypotheses that can lead to pretty different results.</w:t>
      </w:r>
    </w:p>
    <w:p w:rsidR="009338E6" w:rsidRDefault="009338E6" w:rsidP="00165665">
      <w:pPr>
        <w:pStyle w:val="BodyTextIndent"/>
        <w:rPr>
          <w:kern w:val="16"/>
        </w:rPr>
      </w:pPr>
    </w:p>
    <w:p w:rsidR="009338E6" w:rsidRDefault="00751693" w:rsidP="009338E6">
      <w:pPr>
        <w:pStyle w:val="BodyTextIndent"/>
        <w:ind w:firstLine="0"/>
        <w:rPr>
          <w:kern w:val="16"/>
        </w:rPr>
      </w:pPr>
      <w:r w:rsidRPr="00751693">
        <w:rPr>
          <w:noProof/>
          <w:lang w:val="en-US"/>
        </w:rPr>
        <w:drawing>
          <wp:inline distT="0" distB="0" distL="0" distR="0">
            <wp:extent cx="2968625" cy="1687204"/>
            <wp:effectExtent l="19050" t="0" r="317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968625" cy="1687204"/>
                    </a:xfrm>
                    <a:prstGeom prst="rect">
                      <a:avLst/>
                    </a:prstGeom>
                    <a:noFill/>
                    <a:ln w="9525">
                      <a:noFill/>
                      <a:miter lim="800000"/>
                      <a:headEnd/>
                      <a:tailEnd/>
                    </a:ln>
                  </pic:spPr>
                </pic:pic>
              </a:graphicData>
            </a:graphic>
          </wp:inline>
        </w:drawing>
      </w:r>
    </w:p>
    <w:p w:rsidR="0021793D" w:rsidRDefault="0021793D" w:rsidP="0021793D">
      <w:pPr>
        <w:pStyle w:val="BodyTextIndent"/>
        <w:jc w:val="center"/>
        <w:rPr>
          <w:kern w:val="16"/>
        </w:rPr>
      </w:pPr>
      <w:r w:rsidRPr="004A4577">
        <w:rPr>
          <w:kern w:val="16"/>
        </w:rPr>
        <w:t xml:space="preserve">Figure </w:t>
      </w:r>
      <w:r>
        <w:rPr>
          <w:kern w:val="16"/>
        </w:rPr>
        <w:t>3</w:t>
      </w:r>
      <w:r w:rsidRPr="004A4577">
        <w:rPr>
          <w:kern w:val="16"/>
        </w:rPr>
        <w:t xml:space="preserve">: </w:t>
      </w:r>
      <w:r>
        <w:rPr>
          <w:kern w:val="16"/>
        </w:rPr>
        <w:t>Diagram summarizing the dipole performance in individual tests [1</w:t>
      </w:r>
      <w:proofErr w:type="gramStart"/>
      <w:r>
        <w:rPr>
          <w:kern w:val="16"/>
        </w:rPr>
        <w:t>,2</w:t>
      </w:r>
      <w:proofErr w:type="gramEnd"/>
      <w:r>
        <w:rPr>
          <w:kern w:val="16"/>
        </w:rPr>
        <w:t>].</w:t>
      </w:r>
    </w:p>
    <w:p w:rsidR="0021793D" w:rsidRDefault="0021793D" w:rsidP="009338E6">
      <w:pPr>
        <w:pStyle w:val="BodyTextIndent"/>
        <w:ind w:firstLine="0"/>
        <w:rPr>
          <w:kern w:val="16"/>
        </w:rPr>
      </w:pPr>
    </w:p>
    <w:p w:rsidR="009338E6" w:rsidRDefault="009338E6" w:rsidP="009338E6">
      <w:pPr>
        <w:pStyle w:val="Heading3"/>
        <w:rPr>
          <w:kern w:val="16"/>
        </w:rPr>
      </w:pPr>
      <w:r>
        <w:rPr>
          <w:kern w:val="16"/>
        </w:rPr>
        <w:lastRenderedPageBreak/>
        <w:t>Extrapolation of hardware commissioning data</w:t>
      </w:r>
    </w:p>
    <w:p w:rsidR="009338E6" w:rsidRDefault="003943D5" w:rsidP="00165665">
      <w:pPr>
        <w:pStyle w:val="BodyTextIndent"/>
        <w:rPr>
          <w:kern w:val="16"/>
        </w:rPr>
      </w:pPr>
      <w:r>
        <w:rPr>
          <w:kern w:val="16"/>
        </w:rPr>
        <w:t>In Ref. [</w:t>
      </w:r>
      <w:r w:rsidR="008A284F">
        <w:rPr>
          <w:kern w:val="16"/>
        </w:rPr>
        <w:t>1]</w:t>
      </w:r>
      <w:r>
        <w:rPr>
          <w:kern w:val="16"/>
        </w:rPr>
        <w:t xml:space="preserve"> it has been first observed that the training curve becomes linear in a semi-logarithmic plot; the extrapolation provides about 200 quenches to reach nominal for sector 5-6, and rescaling for the whole machine one should </w:t>
      </w:r>
      <w:r w:rsidR="008A284F">
        <w:rPr>
          <w:kern w:val="16"/>
        </w:rPr>
        <w:t xml:space="preserve">need </w:t>
      </w:r>
      <w:r>
        <w:rPr>
          <w:kern w:val="16"/>
        </w:rPr>
        <w:t>110 quenches per sector</w:t>
      </w:r>
      <w:r w:rsidR="008A284F">
        <w:rPr>
          <w:kern w:val="16"/>
        </w:rPr>
        <w:t>,</w:t>
      </w:r>
      <w:r>
        <w:rPr>
          <w:kern w:val="16"/>
        </w:rPr>
        <w:t xml:space="preserve"> neglecting the </w:t>
      </w:r>
      <w:r w:rsidR="008A284F">
        <w:rPr>
          <w:kern w:val="16"/>
        </w:rPr>
        <w:t>contribution of the other Firms</w:t>
      </w:r>
      <w:r>
        <w:rPr>
          <w:kern w:val="16"/>
        </w:rPr>
        <w:t>. The extrapolation is somewhat unphysical, since the dipole performance cannot grow indefinitely (even in a log scale</w:t>
      </w:r>
      <w:r w:rsidR="008A284F">
        <w:rPr>
          <w:kern w:val="16"/>
        </w:rPr>
        <w:t>!</w:t>
      </w:r>
      <w:r>
        <w:rPr>
          <w:kern w:val="16"/>
        </w:rPr>
        <w:t>) as it is limited by the conductor performance. Indeed, in the range 10-11 kA the scaling works pretty well. A more refined fit with an arctangent in semi-logarithmic scale keeps the physics</w:t>
      </w:r>
      <w:r w:rsidR="00751693">
        <w:rPr>
          <w:kern w:val="16"/>
        </w:rPr>
        <w:t xml:space="preserve"> and provides similar results [3</w:t>
      </w:r>
      <w:r>
        <w:rPr>
          <w:kern w:val="16"/>
        </w:rPr>
        <w:t xml:space="preserve">]. </w:t>
      </w:r>
    </w:p>
    <w:p w:rsidR="00A64116" w:rsidRDefault="00A64116" w:rsidP="00165665">
      <w:pPr>
        <w:pStyle w:val="BodyTextIndent"/>
        <w:rPr>
          <w:kern w:val="16"/>
        </w:rPr>
      </w:pPr>
    </w:p>
    <w:p w:rsidR="009338E6" w:rsidRDefault="003943D5" w:rsidP="003943D5">
      <w:pPr>
        <w:pStyle w:val="BodyTextIndent"/>
        <w:ind w:firstLine="0"/>
        <w:rPr>
          <w:kern w:val="16"/>
        </w:rPr>
      </w:pPr>
      <w:r w:rsidRPr="003943D5">
        <w:rPr>
          <w:noProof/>
          <w:lang w:val="en-US"/>
        </w:rPr>
        <w:drawing>
          <wp:inline distT="0" distB="0" distL="0" distR="0">
            <wp:extent cx="2968625" cy="1651821"/>
            <wp:effectExtent l="19050" t="0" r="317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68625" cy="1651821"/>
                    </a:xfrm>
                    <a:prstGeom prst="rect">
                      <a:avLst/>
                    </a:prstGeom>
                    <a:noFill/>
                    <a:ln w="9525">
                      <a:noFill/>
                      <a:miter lim="800000"/>
                      <a:headEnd/>
                      <a:tailEnd/>
                    </a:ln>
                  </pic:spPr>
                </pic:pic>
              </a:graphicData>
            </a:graphic>
          </wp:inline>
        </w:drawing>
      </w:r>
    </w:p>
    <w:p w:rsidR="003943D5" w:rsidRDefault="003943D5" w:rsidP="003943D5">
      <w:pPr>
        <w:pStyle w:val="BodyTextIndent"/>
        <w:jc w:val="center"/>
        <w:rPr>
          <w:kern w:val="16"/>
        </w:rPr>
      </w:pPr>
      <w:r w:rsidRPr="004A4577">
        <w:rPr>
          <w:kern w:val="16"/>
        </w:rPr>
        <w:t xml:space="preserve">Figure </w:t>
      </w:r>
      <w:r>
        <w:rPr>
          <w:kern w:val="16"/>
        </w:rPr>
        <w:t>4</w:t>
      </w:r>
      <w:r w:rsidRPr="004A4577">
        <w:rPr>
          <w:kern w:val="16"/>
        </w:rPr>
        <w:t xml:space="preserve">: </w:t>
      </w:r>
      <w:r>
        <w:rPr>
          <w:kern w:val="16"/>
        </w:rPr>
        <w:t>Logarithmic extrapolation proposed in [6].</w:t>
      </w:r>
    </w:p>
    <w:p w:rsidR="00751693" w:rsidRDefault="00751693" w:rsidP="00751693">
      <w:pPr>
        <w:pStyle w:val="BodyTextIndent"/>
        <w:rPr>
          <w:kern w:val="16"/>
        </w:rPr>
      </w:pPr>
    </w:p>
    <w:p w:rsidR="00751693" w:rsidRDefault="00751693" w:rsidP="00751693">
      <w:pPr>
        <w:pStyle w:val="BodyTextIndent"/>
        <w:rPr>
          <w:kern w:val="16"/>
        </w:rPr>
      </w:pPr>
      <w:r>
        <w:rPr>
          <w:kern w:val="16"/>
        </w:rPr>
        <w:t>A summary of the results given by the different methods is given in Table 2.</w:t>
      </w:r>
    </w:p>
    <w:p w:rsidR="003B50B8" w:rsidRDefault="003B50B8" w:rsidP="003B50B8">
      <w:pPr>
        <w:pStyle w:val="TableCaption"/>
        <w:rPr>
          <w:kern w:val="16"/>
        </w:rPr>
      </w:pPr>
    </w:p>
    <w:p w:rsidR="003B50B8" w:rsidRDefault="002F0BF0" w:rsidP="003B50B8">
      <w:pPr>
        <w:pStyle w:val="TableCaption"/>
        <w:rPr>
          <w:kern w:val="16"/>
        </w:rPr>
      </w:pPr>
      <w:r>
        <w:rPr>
          <w:kern w:val="16"/>
        </w:rPr>
        <w:t>Table 2</w:t>
      </w:r>
      <w:r w:rsidR="003B50B8">
        <w:rPr>
          <w:kern w:val="16"/>
        </w:rPr>
        <w:t xml:space="preserve">: Quenches needed to reach 7 </w:t>
      </w:r>
      <w:proofErr w:type="spellStart"/>
      <w:r w:rsidR="003B50B8">
        <w:rPr>
          <w:kern w:val="16"/>
        </w:rPr>
        <w:t>TeV</w:t>
      </w:r>
      <w:proofErr w:type="spellEnd"/>
      <w:r w:rsidR="003B50B8">
        <w:rPr>
          <w:kern w:val="16"/>
        </w:rPr>
        <w:t>: summary of different methods</w:t>
      </w:r>
    </w:p>
    <w:p w:rsidR="003B50B8" w:rsidRDefault="00751693" w:rsidP="003943D5">
      <w:pPr>
        <w:pStyle w:val="BodyTextIndent"/>
        <w:jc w:val="center"/>
        <w:rPr>
          <w:kern w:val="16"/>
        </w:rPr>
      </w:pPr>
      <w:r w:rsidRPr="00751693">
        <w:rPr>
          <w:noProof/>
          <w:lang w:val="en-US"/>
        </w:rPr>
        <w:drawing>
          <wp:inline distT="0" distB="0" distL="0" distR="0">
            <wp:extent cx="2968625" cy="1057203"/>
            <wp:effectExtent l="19050" t="0" r="317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968625" cy="1057203"/>
                    </a:xfrm>
                    <a:prstGeom prst="rect">
                      <a:avLst/>
                    </a:prstGeom>
                    <a:noFill/>
                    <a:ln w="9525">
                      <a:noFill/>
                      <a:miter lim="800000"/>
                      <a:headEnd/>
                      <a:tailEnd/>
                    </a:ln>
                  </pic:spPr>
                </pic:pic>
              </a:graphicData>
            </a:graphic>
          </wp:inline>
        </w:drawing>
      </w:r>
    </w:p>
    <w:p w:rsidR="00911AAA" w:rsidRDefault="00AC1E0A" w:rsidP="00911AAA">
      <w:pPr>
        <w:pStyle w:val="Heading2"/>
        <w:spacing w:before="180"/>
      </w:pPr>
      <w:r>
        <w:t>ANALYSIS</w:t>
      </w:r>
    </w:p>
    <w:p w:rsidR="00165665" w:rsidRDefault="00911AAA" w:rsidP="00165665">
      <w:pPr>
        <w:pStyle w:val="Heading3"/>
        <w:rPr>
          <w:kern w:val="16"/>
        </w:rPr>
      </w:pPr>
      <w:r>
        <w:rPr>
          <w:kern w:val="16"/>
        </w:rPr>
        <w:t>The Firm3 anomaly</w:t>
      </w:r>
    </w:p>
    <w:p w:rsidR="003943D5" w:rsidRDefault="003943D5" w:rsidP="00165665">
      <w:pPr>
        <w:pStyle w:val="BodyTextIndent"/>
        <w:rPr>
          <w:kern w:val="16"/>
        </w:rPr>
      </w:pPr>
      <w:r>
        <w:rPr>
          <w:kern w:val="16"/>
        </w:rPr>
        <w:t xml:space="preserve">Several investigations have been </w:t>
      </w:r>
      <w:r w:rsidR="003B50B8">
        <w:rPr>
          <w:kern w:val="16"/>
        </w:rPr>
        <w:t>started</w:t>
      </w:r>
      <w:r>
        <w:rPr>
          <w:kern w:val="16"/>
        </w:rPr>
        <w:t xml:space="preserve"> to better understand the anomalous behaviour of Firm3. </w:t>
      </w:r>
      <w:r w:rsidR="003B50B8">
        <w:rPr>
          <w:kern w:val="16"/>
        </w:rPr>
        <w:t>In fact, in Ref. [</w:t>
      </w:r>
      <w:r w:rsidR="008A284F">
        <w:rPr>
          <w:kern w:val="16"/>
        </w:rPr>
        <w:t>2</w:t>
      </w:r>
      <w:proofErr w:type="gramStart"/>
      <w:r w:rsidR="008A284F">
        <w:rPr>
          <w:kern w:val="16"/>
        </w:rPr>
        <w:t>,3</w:t>
      </w:r>
      <w:proofErr w:type="gramEnd"/>
      <w:r w:rsidR="003B50B8">
        <w:rPr>
          <w:kern w:val="16"/>
        </w:rPr>
        <w:t>] we reported on the trace of a lower performance of Firm3 magnets with respect to two different aspects:</w:t>
      </w:r>
    </w:p>
    <w:p w:rsidR="00165665" w:rsidRDefault="003B50B8" w:rsidP="00165665">
      <w:pPr>
        <w:pStyle w:val="BulletedList"/>
        <w:rPr>
          <w:kern w:val="16"/>
        </w:rPr>
      </w:pPr>
      <w:r>
        <w:rPr>
          <w:kern w:val="16"/>
        </w:rPr>
        <w:t>Firm3 dipoles show a slower training for virgin magnets in the range 7-10 kA</w:t>
      </w:r>
      <w:r w:rsidR="00B660FB">
        <w:rPr>
          <w:kern w:val="16"/>
        </w:rPr>
        <w:t xml:space="preserve"> (see Fig. 5)</w:t>
      </w:r>
      <w:r w:rsidR="008A284F">
        <w:rPr>
          <w:kern w:val="16"/>
        </w:rPr>
        <w:t>.</w:t>
      </w:r>
    </w:p>
    <w:p w:rsidR="00165665" w:rsidRDefault="003B50B8" w:rsidP="00165665">
      <w:pPr>
        <w:pStyle w:val="BulletedList"/>
        <w:rPr>
          <w:kern w:val="16"/>
        </w:rPr>
      </w:pPr>
      <w:r>
        <w:rPr>
          <w:kern w:val="16"/>
        </w:rPr>
        <w:t>Firm3 dipoles after thermal cycle show a larger loss of training retention. In particular, a few dipoles showed a net loss of performance between the first virgin test and the test after thermal cycle, contrary to the other Firms</w:t>
      </w:r>
      <w:r w:rsidR="00B660FB">
        <w:rPr>
          <w:kern w:val="16"/>
        </w:rPr>
        <w:t xml:space="preserve"> (see Fig. 6)</w:t>
      </w:r>
      <w:r>
        <w:rPr>
          <w:kern w:val="16"/>
        </w:rPr>
        <w:t>.</w:t>
      </w:r>
    </w:p>
    <w:p w:rsidR="003B50B8" w:rsidRDefault="003B50B8" w:rsidP="00C53798">
      <w:pPr>
        <w:pStyle w:val="BulletedList"/>
        <w:numPr>
          <w:ilvl w:val="0"/>
          <w:numId w:val="0"/>
        </w:numPr>
        <w:ind w:left="389" w:hanging="202"/>
        <w:rPr>
          <w:kern w:val="16"/>
        </w:rPr>
      </w:pPr>
    </w:p>
    <w:p w:rsidR="00B660FB" w:rsidRDefault="00B660FB" w:rsidP="00B660FB">
      <w:pPr>
        <w:pStyle w:val="BodyTextIndent"/>
        <w:ind w:firstLine="0"/>
        <w:rPr>
          <w:kern w:val="16"/>
        </w:rPr>
      </w:pPr>
      <w:r w:rsidRPr="00B660FB">
        <w:rPr>
          <w:noProof/>
          <w:lang w:val="en-US"/>
        </w:rPr>
        <w:lastRenderedPageBreak/>
        <w:drawing>
          <wp:inline distT="0" distB="0" distL="0" distR="0">
            <wp:extent cx="2968625" cy="1642138"/>
            <wp:effectExtent l="19050" t="0" r="317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968625" cy="1642138"/>
                    </a:xfrm>
                    <a:prstGeom prst="rect">
                      <a:avLst/>
                    </a:prstGeom>
                    <a:noFill/>
                    <a:ln w="9525">
                      <a:noFill/>
                      <a:miter lim="800000"/>
                      <a:headEnd/>
                      <a:tailEnd/>
                    </a:ln>
                  </pic:spPr>
                </pic:pic>
              </a:graphicData>
            </a:graphic>
          </wp:inline>
        </w:drawing>
      </w:r>
    </w:p>
    <w:p w:rsidR="00B660FB" w:rsidRDefault="00B660FB" w:rsidP="00B660FB">
      <w:pPr>
        <w:pStyle w:val="BodyTextIndent"/>
        <w:jc w:val="center"/>
        <w:rPr>
          <w:kern w:val="16"/>
        </w:rPr>
      </w:pPr>
      <w:r w:rsidRPr="004A4577">
        <w:rPr>
          <w:kern w:val="16"/>
        </w:rPr>
        <w:t xml:space="preserve">Figure </w:t>
      </w:r>
      <w:r>
        <w:rPr>
          <w:kern w:val="16"/>
        </w:rPr>
        <w:t>5</w:t>
      </w:r>
      <w:r w:rsidRPr="004A4577">
        <w:rPr>
          <w:kern w:val="16"/>
        </w:rPr>
        <w:t xml:space="preserve">: </w:t>
      </w:r>
      <w:r>
        <w:rPr>
          <w:kern w:val="16"/>
        </w:rPr>
        <w:t>Cumulated data of virgin training, split per magnet assembler.</w:t>
      </w:r>
    </w:p>
    <w:p w:rsidR="00B660FB" w:rsidRDefault="00B660FB" w:rsidP="00B660FB">
      <w:pPr>
        <w:pStyle w:val="BodyTextIndent"/>
        <w:jc w:val="center"/>
        <w:rPr>
          <w:kern w:val="16"/>
        </w:rPr>
      </w:pPr>
    </w:p>
    <w:p w:rsidR="00B660FB" w:rsidRDefault="00B660FB" w:rsidP="00B660FB">
      <w:pPr>
        <w:pStyle w:val="BodyTextIndent"/>
        <w:ind w:firstLine="0"/>
        <w:rPr>
          <w:kern w:val="16"/>
        </w:rPr>
      </w:pPr>
      <w:r w:rsidRPr="00B660FB">
        <w:rPr>
          <w:noProof/>
          <w:lang w:val="en-US"/>
        </w:rPr>
        <w:drawing>
          <wp:inline distT="0" distB="0" distL="0" distR="0">
            <wp:extent cx="2968625" cy="1693913"/>
            <wp:effectExtent l="19050" t="0" r="317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968625" cy="1693913"/>
                    </a:xfrm>
                    <a:prstGeom prst="rect">
                      <a:avLst/>
                    </a:prstGeom>
                    <a:noFill/>
                    <a:ln w="9525">
                      <a:noFill/>
                      <a:miter lim="800000"/>
                      <a:headEnd/>
                      <a:tailEnd/>
                    </a:ln>
                  </pic:spPr>
                </pic:pic>
              </a:graphicData>
            </a:graphic>
          </wp:inline>
        </w:drawing>
      </w:r>
    </w:p>
    <w:p w:rsidR="00B660FB" w:rsidRDefault="00B660FB" w:rsidP="00B660FB">
      <w:pPr>
        <w:pStyle w:val="BodyTextIndent"/>
        <w:jc w:val="center"/>
        <w:rPr>
          <w:kern w:val="16"/>
        </w:rPr>
      </w:pPr>
      <w:r w:rsidRPr="004A4577">
        <w:rPr>
          <w:kern w:val="16"/>
        </w:rPr>
        <w:t xml:space="preserve">Figure </w:t>
      </w:r>
      <w:r>
        <w:rPr>
          <w:kern w:val="16"/>
        </w:rPr>
        <w:t>6</w:t>
      </w:r>
      <w:r w:rsidRPr="004A4577">
        <w:rPr>
          <w:kern w:val="16"/>
        </w:rPr>
        <w:t xml:space="preserve">: </w:t>
      </w:r>
      <w:r>
        <w:rPr>
          <w:kern w:val="16"/>
        </w:rPr>
        <w:t>Gain in current between first quench in virgin conditions and first quench after thermal cycle.</w:t>
      </w:r>
    </w:p>
    <w:p w:rsidR="00B660FB" w:rsidRDefault="00B660FB" w:rsidP="00B660FB">
      <w:pPr>
        <w:pStyle w:val="BodyTextIndent"/>
        <w:jc w:val="center"/>
        <w:rPr>
          <w:kern w:val="16"/>
        </w:rPr>
      </w:pPr>
    </w:p>
    <w:p w:rsidR="003B50B8" w:rsidRDefault="003B50B8" w:rsidP="003B50B8">
      <w:pPr>
        <w:rPr>
          <w:kern w:val="16"/>
        </w:rPr>
      </w:pPr>
      <w:r>
        <w:rPr>
          <w:kern w:val="16"/>
        </w:rPr>
        <w:t>An additional feature has been found more recently through the analysis of the quench location</w:t>
      </w:r>
      <w:r w:rsidR="00B660FB">
        <w:rPr>
          <w:kern w:val="16"/>
        </w:rPr>
        <w:t xml:space="preserve"> [5]</w:t>
      </w:r>
      <w:r>
        <w:rPr>
          <w:kern w:val="16"/>
        </w:rPr>
        <w:t xml:space="preserve">. The first virgin quench takes place in the heads for 97-100% of the cases, in all Firms. On the other hand, for the second quench the location is in the heads for about 90% in Firm1 and Firm2, but 98% in Firm3 (see Table 3). This indicates a different behaviour, but one can argue if this means that the Firm3 straight part is better than Firm1-2 or </w:t>
      </w:r>
      <w:r w:rsidR="008A284F">
        <w:rPr>
          <w:kern w:val="16"/>
        </w:rPr>
        <w:t>that</w:t>
      </w:r>
      <w:r>
        <w:rPr>
          <w:kern w:val="16"/>
        </w:rPr>
        <w:t xml:space="preserve"> the Firm3 heads are worse than Firm1-2.</w:t>
      </w:r>
    </w:p>
    <w:p w:rsidR="002F0BF0" w:rsidRDefault="002F0BF0" w:rsidP="003B50B8">
      <w:pPr>
        <w:rPr>
          <w:kern w:val="16"/>
        </w:rPr>
      </w:pPr>
    </w:p>
    <w:p w:rsidR="002F0BF0" w:rsidRPr="000A3973" w:rsidRDefault="002F0BF0" w:rsidP="002F0BF0">
      <w:pPr>
        <w:pStyle w:val="TableCaption"/>
        <w:rPr>
          <w:kern w:val="16"/>
        </w:rPr>
      </w:pPr>
      <w:r>
        <w:rPr>
          <w:kern w:val="16"/>
        </w:rPr>
        <w:t xml:space="preserve">Table 3: </w:t>
      </w:r>
      <w:r w:rsidR="008A284F">
        <w:rPr>
          <w:kern w:val="16"/>
        </w:rPr>
        <w:t>Fraction of quenches in the coil ends in virgin conditions.</w:t>
      </w:r>
    </w:p>
    <w:p w:rsidR="003B50B8" w:rsidRDefault="00FD3B45" w:rsidP="003B50B8">
      <w:pPr>
        <w:rPr>
          <w:kern w:val="16"/>
        </w:rPr>
      </w:pPr>
      <w:r w:rsidRPr="00FD3B45">
        <w:rPr>
          <w:noProof/>
          <w:lang w:val="en-US"/>
        </w:rPr>
        <w:drawing>
          <wp:inline distT="0" distB="0" distL="0" distR="0">
            <wp:extent cx="2968625" cy="801300"/>
            <wp:effectExtent l="19050" t="0" r="317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2968625" cy="801300"/>
                    </a:xfrm>
                    <a:prstGeom prst="rect">
                      <a:avLst/>
                    </a:prstGeom>
                    <a:noFill/>
                    <a:ln w="9525">
                      <a:noFill/>
                      <a:miter lim="800000"/>
                      <a:headEnd/>
                      <a:tailEnd/>
                    </a:ln>
                  </pic:spPr>
                </pic:pic>
              </a:graphicData>
            </a:graphic>
          </wp:inline>
        </w:drawing>
      </w:r>
    </w:p>
    <w:p w:rsidR="008B0D57" w:rsidRDefault="008B0D57" w:rsidP="008B0D57">
      <w:pPr>
        <w:pStyle w:val="Heading3"/>
        <w:rPr>
          <w:kern w:val="16"/>
        </w:rPr>
      </w:pPr>
      <w:r>
        <w:rPr>
          <w:kern w:val="16"/>
        </w:rPr>
        <w:t>Storage time</w:t>
      </w:r>
    </w:p>
    <w:p w:rsidR="008B0D57" w:rsidRDefault="008B0D57" w:rsidP="008B0D57">
      <w:pPr>
        <w:pStyle w:val="BodyTextIndent"/>
        <w:rPr>
          <w:kern w:val="16"/>
        </w:rPr>
      </w:pPr>
      <w:r>
        <w:rPr>
          <w:kern w:val="16"/>
        </w:rPr>
        <w:t>One of the first hypotheses done to explain the performance loss was the storage time before installation.</w:t>
      </w:r>
      <w:r w:rsidR="00FD3B45">
        <w:rPr>
          <w:kern w:val="16"/>
        </w:rPr>
        <w:t xml:space="preserve"> In Fig. 7</w:t>
      </w:r>
      <w:r w:rsidR="008A284F">
        <w:rPr>
          <w:kern w:val="16"/>
        </w:rPr>
        <w:t xml:space="preserve"> we plot the storage time for the dipole as a cold ma</w:t>
      </w:r>
      <w:r w:rsidR="00FD3B45">
        <w:rPr>
          <w:kern w:val="16"/>
        </w:rPr>
        <w:t>ss (i.e. between arrival at CERN</w:t>
      </w:r>
      <w:r w:rsidR="008A284F">
        <w:rPr>
          <w:kern w:val="16"/>
        </w:rPr>
        <w:t xml:space="preserve"> and </w:t>
      </w:r>
      <w:proofErr w:type="spellStart"/>
      <w:r w:rsidR="008A284F">
        <w:rPr>
          <w:kern w:val="16"/>
        </w:rPr>
        <w:t>cryostating</w:t>
      </w:r>
      <w:proofErr w:type="spellEnd"/>
      <w:r w:rsidR="008A284F">
        <w:rPr>
          <w:kern w:val="16"/>
        </w:rPr>
        <w:t>) for the whole set of 5-6 Firm3 dipoles and for the subset which quenched</w:t>
      </w:r>
      <w:r w:rsidR="00FD3B45">
        <w:rPr>
          <w:kern w:val="16"/>
        </w:rPr>
        <w:t xml:space="preserve"> [5]</w:t>
      </w:r>
      <w:r w:rsidR="008A284F">
        <w:rPr>
          <w:kern w:val="16"/>
        </w:rPr>
        <w:t xml:space="preserve">. The two distributions look similar. The same analysis is carried out </w:t>
      </w:r>
      <w:r w:rsidR="00FD3B45">
        <w:rPr>
          <w:kern w:val="16"/>
        </w:rPr>
        <w:t>in Fig. 8</w:t>
      </w:r>
      <w:r w:rsidR="00D70242">
        <w:rPr>
          <w:kern w:val="16"/>
        </w:rPr>
        <w:t xml:space="preserve"> </w:t>
      </w:r>
      <w:r w:rsidR="008A284F">
        <w:rPr>
          <w:kern w:val="16"/>
        </w:rPr>
        <w:t xml:space="preserve">for the storage time of the </w:t>
      </w:r>
      <w:proofErr w:type="spellStart"/>
      <w:r w:rsidR="008A284F">
        <w:rPr>
          <w:kern w:val="16"/>
        </w:rPr>
        <w:t>cryostated</w:t>
      </w:r>
      <w:proofErr w:type="spellEnd"/>
      <w:r w:rsidR="008A284F">
        <w:rPr>
          <w:kern w:val="16"/>
        </w:rPr>
        <w:t xml:space="preserve"> magnets, i.e. the time between test and installation. In this case the time can reach two years. Also in this case there is no trace of larger quench probability in 5-6 for magnets with a larger storage time.</w:t>
      </w:r>
    </w:p>
    <w:p w:rsidR="00FD3B45" w:rsidRDefault="00FD3B45" w:rsidP="008B0D57">
      <w:pPr>
        <w:pStyle w:val="BodyTextIndent"/>
        <w:rPr>
          <w:kern w:val="16"/>
        </w:rPr>
      </w:pPr>
    </w:p>
    <w:p w:rsidR="008B0D57" w:rsidRDefault="008B0D57" w:rsidP="008B0D57">
      <w:pPr>
        <w:pStyle w:val="BodyTextIndent"/>
        <w:ind w:firstLine="0"/>
        <w:rPr>
          <w:kern w:val="16"/>
        </w:rPr>
      </w:pPr>
      <w:r w:rsidRPr="008B0D57">
        <w:rPr>
          <w:noProof/>
          <w:lang w:val="en-US"/>
        </w:rPr>
        <w:drawing>
          <wp:inline distT="0" distB="0" distL="0" distR="0">
            <wp:extent cx="2968625" cy="1704820"/>
            <wp:effectExtent l="19050" t="0" r="317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968625" cy="1704820"/>
                    </a:xfrm>
                    <a:prstGeom prst="rect">
                      <a:avLst/>
                    </a:prstGeom>
                    <a:noFill/>
                    <a:ln w="9525">
                      <a:noFill/>
                      <a:miter lim="800000"/>
                      <a:headEnd/>
                      <a:tailEnd/>
                    </a:ln>
                  </pic:spPr>
                </pic:pic>
              </a:graphicData>
            </a:graphic>
          </wp:inline>
        </w:drawing>
      </w:r>
    </w:p>
    <w:p w:rsidR="008B0D57" w:rsidRDefault="008B0D57" w:rsidP="008B0D57">
      <w:pPr>
        <w:pStyle w:val="BodyTextIndent"/>
        <w:rPr>
          <w:kern w:val="16"/>
        </w:rPr>
      </w:pPr>
    </w:p>
    <w:p w:rsidR="008B0D57" w:rsidRDefault="008B0D57" w:rsidP="008B0D57">
      <w:pPr>
        <w:pStyle w:val="BodyTextIndent"/>
        <w:jc w:val="center"/>
        <w:rPr>
          <w:kern w:val="16"/>
        </w:rPr>
      </w:pPr>
      <w:r w:rsidRPr="004A4577">
        <w:rPr>
          <w:kern w:val="16"/>
        </w:rPr>
        <w:t xml:space="preserve">Figure </w:t>
      </w:r>
      <w:r w:rsidR="00FD3B45">
        <w:rPr>
          <w:kern w:val="16"/>
        </w:rPr>
        <w:t>7</w:t>
      </w:r>
      <w:r w:rsidRPr="004A4577">
        <w:rPr>
          <w:kern w:val="16"/>
        </w:rPr>
        <w:t xml:space="preserve">: </w:t>
      </w:r>
      <w:r>
        <w:rPr>
          <w:kern w:val="16"/>
        </w:rPr>
        <w:t xml:space="preserve">Storage time between arrival at CERN and </w:t>
      </w:r>
      <w:proofErr w:type="spellStart"/>
      <w:r>
        <w:rPr>
          <w:kern w:val="16"/>
        </w:rPr>
        <w:t>cryostating</w:t>
      </w:r>
      <w:proofErr w:type="spellEnd"/>
      <w:r>
        <w:rPr>
          <w:kern w:val="16"/>
        </w:rPr>
        <w:t xml:space="preserve"> for Firm3 magnets in 5-6, all magnets versus quenched magnets.</w:t>
      </w:r>
    </w:p>
    <w:p w:rsidR="008B0D57" w:rsidRDefault="008B0D57" w:rsidP="008B0D57">
      <w:pPr>
        <w:pStyle w:val="BodyTextIndent"/>
        <w:rPr>
          <w:kern w:val="16"/>
        </w:rPr>
      </w:pPr>
    </w:p>
    <w:p w:rsidR="008B0D57" w:rsidRDefault="008B0D57" w:rsidP="008B0D57">
      <w:pPr>
        <w:pStyle w:val="BodyTextIndent"/>
        <w:ind w:firstLine="0"/>
        <w:rPr>
          <w:kern w:val="16"/>
        </w:rPr>
      </w:pPr>
      <w:r w:rsidRPr="008B0D57">
        <w:rPr>
          <w:noProof/>
          <w:kern w:val="16"/>
          <w:lang w:val="en-US"/>
        </w:rPr>
        <w:drawing>
          <wp:inline distT="0" distB="0" distL="0" distR="0">
            <wp:extent cx="2968625" cy="1646583"/>
            <wp:effectExtent l="19050" t="0" r="3175" b="0"/>
            <wp:docPr id="15" name="Picture 3"/>
            <wp:cNvGraphicFramePr/>
            <a:graphic xmlns:a="http://schemas.openxmlformats.org/drawingml/2006/main">
              <a:graphicData uri="http://schemas.openxmlformats.org/drawingml/2006/picture">
                <pic:pic xmlns:pic="http://schemas.openxmlformats.org/drawingml/2006/picture">
                  <pic:nvPicPr>
                    <pic:cNvPr id="29702" name="Picture 7"/>
                    <pic:cNvPicPr>
                      <a:picLocks noChangeAspect="1" noChangeArrowheads="1"/>
                    </pic:cNvPicPr>
                  </pic:nvPicPr>
                  <pic:blipFill>
                    <a:blip r:embed="rId18" cstate="print"/>
                    <a:srcRect/>
                    <a:stretch>
                      <a:fillRect/>
                    </a:stretch>
                  </pic:blipFill>
                  <pic:spPr bwMode="auto">
                    <a:xfrm>
                      <a:off x="0" y="0"/>
                      <a:ext cx="2968625" cy="1646583"/>
                    </a:xfrm>
                    <a:prstGeom prst="rect">
                      <a:avLst/>
                    </a:prstGeom>
                    <a:noFill/>
                    <a:ln w="9525">
                      <a:noFill/>
                      <a:miter lim="800000"/>
                      <a:headEnd/>
                      <a:tailEnd/>
                    </a:ln>
                  </pic:spPr>
                </pic:pic>
              </a:graphicData>
            </a:graphic>
          </wp:inline>
        </w:drawing>
      </w:r>
    </w:p>
    <w:p w:rsidR="008B0D57" w:rsidRDefault="008B0D57" w:rsidP="008B0D57">
      <w:pPr>
        <w:pStyle w:val="BodyTextIndent"/>
        <w:jc w:val="center"/>
        <w:rPr>
          <w:kern w:val="16"/>
        </w:rPr>
      </w:pPr>
      <w:r w:rsidRPr="004A4577">
        <w:rPr>
          <w:kern w:val="16"/>
        </w:rPr>
        <w:t xml:space="preserve">Figure </w:t>
      </w:r>
      <w:r w:rsidR="00FD3B45">
        <w:rPr>
          <w:kern w:val="16"/>
        </w:rPr>
        <w:t>8</w:t>
      </w:r>
      <w:r w:rsidRPr="004A4577">
        <w:rPr>
          <w:kern w:val="16"/>
        </w:rPr>
        <w:t xml:space="preserve">: </w:t>
      </w:r>
      <w:r>
        <w:rPr>
          <w:kern w:val="16"/>
        </w:rPr>
        <w:t>Storage time between arrival at test and installation for Firm3 magnets in 5-6, all magnets versus quenched magnets.</w:t>
      </w:r>
    </w:p>
    <w:p w:rsidR="00911AAA" w:rsidRDefault="009B5068" w:rsidP="00911AAA">
      <w:pPr>
        <w:pStyle w:val="Heading3"/>
        <w:rPr>
          <w:kern w:val="16"/>
        </w:rPr>
      </w:pPr>
      <w:r>
        <w:rPr>
          <w:kern w:val="16"/>
        </w:rPr>
        <w:t>Coil properties</w:t>
      </w:r>
    </w:p>
    <w:p w:rsidR="000A3973" w:rsidRDefault="002B30A1" w:rsidP="00165665">
      <w:pPr>
        <w:pStyle w:val="BodyTextIndent"/>
        <w:rPr>
          <w:kern w:val="16"/>
        </w:rPr>
      </w:pPr>
      <w:r>
        <w:rPr>
          <w:kern w:val="16"/>
        </w:rPr>
        <w:t>The analysis of the measurements carried out during the production [</w:t>
      </w:r>
      <w:r w:rsidR="00FD3B45">
        <w:rPr>
          <w:kern w:val="16"/>
        </w:rPr>
        <w:t>6</w:t>
      </w:r>
      <w:r>
        <w:rPr>
          <w:kern w:val="16"/>
        </w:rPr>
        <w:t>] shows that Firm3 coil outer layer modulus were in between Firm1 and Firm2</w:t>
      </w:r>
      <w:r w:rsidR="00FD3B45">
        <w:rPr>
          <w:kern w:val="16"/>
        </w:rPr>
        <w:t xml:space="preserve"> (see Fig. 9</w:t>
      </w:r>
      <w:r>
        <w:rPr>
          <w:kern w:val="16"/>
        </w:rPr>
        <w:t xml:space="preserve">). </w:t>
      </w:r>
      <w:r w:rsidR="00D70242">
        <w:rPr>
          <w:kern w:val="16"/>
        </w:rPr>
        <w:t>T</w:t>
      </w:r>
      <w:r>
        <w:rPr>
          <w:kern w:val="16"/>
        </w:rPr>
        <w:t xml:space="preserve">he inner layer data show a similar feature. This excludes the hypothesis that the performance loss is due to a stress release during storage due to </w:t>
      </w:r>
      <w:r w:rsidR="00FD3B45">
        <w:rPr>
          <w:kern w:val="16"/>
        </w:rPr>
        <w:t xml:space="preserve">a </w:t>
      </w:r>
      <w:r>
        <w:rPr>
          <w:kern w:val="16"/>
        </w:rPr>
        <w:t xml:space="preserve">softer </w:t>
      </w:r>
      <w:r w:rsidR="00FD3B45">
        <w:rPr>
          <w:kern w:val="16"/>
        </w:rPr>
        <w:t>coil</w:t>
      </w:r>
      <w:r>
        <w:rPr>
          <w:kern w:val="16"/>
        </w:rPr>
        <w:t xml:space="preserve">. </w:t>
      </w:r>
    </w:p>
    <w:p w:rsidR="00D70242" w:rsidRDefault="00D70242" w:rsidP="00165665">
      <w:pPr>
        <w:pStyle w:val="BodyTextIndent"/>
        <w:rPr>
          <w:kern w:val="16"/>
        </w:rPr>
      </w:pPr>
    </w:p>
    <w:p w:rsidR="009B5068" w:rsidRDefault="000A3973" w:rsidP="000A3973">
      <w:pPr>
        <w:pStyle w:val="BodyTextIndent"/>
        <w:ind w:firstLine="0"/>
        <w:rPr>
          <w:kern w:val="16"/>
        </w:rPr>
      </w:pPr>
      <w:r w:rsidRPr="000A3973">
        <w:rPr>
          <w:noProof/>
          <w:lang w:val="en-US"/>
        </w:rPr>
        <w:drawing>
          <wp:inline distT="0" distB="0" distL="0" distR="0">
            <wp:extent cx="2968625" cy="1744355"/>
            <wp:effectExtent l="19050" t="0" r="317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968625" cy="1744355"/>
                    </a:xfrm>
                    <a:prstGeom prst="rect">
                      <a:avLst/>
                    </a:prstGeom>
                    <a:noFill/>
                    <a:ln w="9525">
                      <a:noFill/>
                      <a:miter lim="800000"/>
                      <a:headEnd/>
                      <a:tailEnd/>
                    </a:ln>
                  </pic:spPr>
                </pic:pic>
              </a:graphicData>
            </a:graphic>
          </wp:inline>
        </w:drawing>
      </w:r>
    </w:p>
    <w:p w:rsidR="000A3973" w:rsidRDefault="000A3973" w:rsidP="000A3973">
      <w:pPr>
        <w:pStyle w:val="BodyTextIndent"/>
        <w:jc w:val="center"/>
        <w:rPr>
          <w:kern w:val="16"/>
        </w:rPr>
      </w:pPr>
      <w:r w:rsidRPr="004A4577">
        <w:rPr>
          <w:kern w:val="16"/>
        </w:rPr>
        <w:t xml:space="preserve">Figure </w:t>
      </w:r>
      <w:r w:rsidR="00FD3B45">
        <w:rPr>
          <w:kern w:val="16"/>
        </w:rPr>
        <w:t>9</w:t>
      </w:r>
      <w:r w:rsidRPr="004A4577">
        <w:rPr>
          <w:kern w:val="16"/>
        </w:rPr>
        <w:t xml:space="preserve">: </w:t>
      </w:r>
      <w:r>
        <w:rPr>
          <w:kern w:val="16"/>
        </w:rPr>
        <w:t xml:space="preserve">Elastic modulus of the </w:t>
      </w:r>
      <w:r w:rsidR="002B30A1">
        <w:rPr>
          <w:kern w:val="16"/>
        </w:rPr>
        <w:t xml:space="preserve">outer layer of </w:t>
      </w:r>
      <w:r>
        <w:rPr>
          <w:kern w:val="16"/>
        </w:rPr>
        <w:t>dipole coils of magnets in sector 5-6, and magnets which quenched (crosses) during sector training.</w:t>
      </w:r>
    </w:p>
    <w:p w:rsidR="009B5068" w:rsidRDefault="009B5068" w:rsidP="009B5068">
      <w:pPr>
        <w:pStyle w:val="Heading3"/>
        <w:rPr>
          <w:kern w:val="16"/>
        </w:rPr>
      </w:pPr>
      <w:r>
        <w:rPr>
          <w:kern w:val="16"/>
        </w:rPr>
        <w:t>Collars</w:t>
      </w:r>
    </w:p>
    <w:p w:rsidR="000A3973" w:rsidRDefault="000A3973" w:rsidP="000A3973">
      <w:pPr>
        <w:pStyle w:val="BodyTextIndent"/>
      </w:pPr>
      <w:r>
        <w:t xml:space="preserve">The </w:t>
      </w:r>
      <w:r w:rsidR="00D70242">
        <w:t xml:space="preserve">dipole </w:t>
      </w:r>
      <w:r>
        <w:t>stainless steel collars were produced by two manufacturers (CP1 and CP2). Most of CP1 collars went to Firm3, whereas CP2 collars were mainly used by Firm1-2</w:t>
      </w:r>
      <w:r w:rsidR="00AC1E0A">
        <w:t xml:space="preserve"> (see Table 4)</w:t>
      </w:r>
      <w:r>
        <w:t>. A priori, an anomaly in Firm3 could also be attributed in the CP1 collar producer. Firm1 had</w:t>
      </w:r>
      <w:r w:rsidR="00D70242">
        <w:t xml:space="preserve"> </w:t>
      </w:r>
      <w:r>
        <w:t>20 magnet</w:t>
      </w:r>
      <w:r w:rsidR="008020C0">
        <w:t>s</w:t>
      </w:r>
      <w:r>
        <w:t xml:space="preserve"> done with CP1 collars, and Fi</w:t>
      </w:r>
      <w:r w:rsidR="00D70242">
        <w:t>r</w:t>
      </w:r>
      <w:r>
        <w:t xml:space="preserve">m3 had 9 magnets done with CP2 collars. Whereas for Firm1 the performance of the two </w:t>
      </w:r>
      <w:r w:rsidR="00D70242">
        <w:t>batches</w:t>
      </w:r>
      <w:r>
        <w:t xml:space="preserve"> is similar</w:t>
      </w:r>
      <w:r w:rsidR="00D70242">
        <w:t xml:space="preserve"> (see Fig. 7)</w:t>
      </w:r>
      <w:r>
        <w:t>, Fim3 magnets assembled with CP2 collars show a better performance</w:t>
      </w:r>
      <w:r w:rsidR="00D70242">
        <w:t xml:space="preserve"> with respect to magnets assembled with CP1 collars (see Fig. 8)</w:t>
      </w:r>
      <w:r>
        <w:t xml:space="preserve">. Indeed the sample is very small and it is hard to draw conclusions.  </w:t>
      </w:r>
    </w:p>
    <w:p w:rsidR="000A3973" w:rsidRPr="000A3973" w:rsidRDefault="000A3973" w:rsidP="000A3973">
      <w:pPr>
        <w:pStyle w:val="BodyTextIndent"/>
      </w:pPr>
    </w:p>
    <w:p w:rsidR="000A3973" w:rsidRPr="000A3973" w:rsidRDefault="002F0BF0" w:rsidP="000A3973">
      <w:pPr>
        <w:pStyle w:val="TableCaption"/>
        <w:rPr>
          <w:kern w:val="16"/>
        </w:rPr>
      </w:pPr>
      <w:proofErr w:type="gramStart"/>
      <w:r>
        <w:rPr>
          <w:kern w:val="16"/>
        </w:rPr>
        <w:t>Table 4</w:t>
      </w:r>
      <w:r w:rsidR="000A3973">
        <w:rPr>
          <w:kern w:val="16"/>
        </w:rPr>
        <w:t xml:space="preserve">: </w:t>
      </w:r>
      <w:r w:rsidR="00D70242">
        <w:rPr>
          <w:kern w:val="16"/>
        </w:rPr>
        <w:t>Collars producers used in magnet assembler</w:t>
      </w:r>
      <w:r w:rsidR="008020C0">
        <w:rPr>
          <w:kern w:val="16"/>
        </w:rPr>
        <w:t>s</w:t>
      </w:r>
      <w:r w:rsidR="00D70242">
        <w:rPr>
          <w:kern w:val="16"/>
        </w:rPr>
        <w:t>.</w:t>
      </w:r>
      <w:proofErr w:type="gramEnd"/>
    </w:p>
    <w:p w:rsidR="000A3973" w:rsidRDefault="008020C0" w:rsidP="008020C0">
      <w:pPr>
        <w:pStyle w:val="BodyTextIndent"/>
        <w:jc w:val="center"/>
      </w:pPr>
      <w:r w:rsidRPr="008020C0">
        <w:rPr>
          <w:noProof/>
          <w:lang w:val="en-US"/>
        </w:rPr>
        <w:drawing>
          <wp:inline distT="0" distB="0" distL="0" distR="0">
            <wp:extent cx="2238375" cy="807660"/>
            <wp:effectExtent l="1905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246306" cy="810522"/>
                    </a:xfrm>
                    <a:prstGeom prst="rect">
                      <a:avLst/>
                    </a:prstGeom>
                    <a:noFill/>
                    <a:ln w="9525">
                      <a:noFill/>
                      <a:miter lim="800000"/>
                      <a:headEnd/>
                      <a:tailEnd/>
                    </a:ln>
                  </pic:spPr>
                </pic:pic>
              </a:graphicData>
            </a:graphic>
          </wp:inline>
        </w:drawing>
      </w:r>
    </w:p>
    <w:p w:rsidR="00D70242" w:rsidRPr="000A3973" w:rsidRDefault="00D70242" w:rsidP="000A3973">
      <w:pPr>
        <w:pStyle w:val="BodyTextIndent"/>
      </w:pPr>
    </w:p>
    <w:p w:rsidR="009B5068" w:rsidRDefault="00F35E10" w:rsidP="00165665">
      <w:pPr>
        <w:pStyle w:val="BodyTextIndent"/>
        <w:rPr>
          <w:kern w:val="16"/>
        </w:rPr>
      </w:pPr>
      <w:r w:rsidRPr="00F35E10">
        <w:rPr>
          <w:noProof/>
          <w:kern w:val="16"/>
          <w:lang w:val="en-US"/>
        </w:rPr>
        <w:drawing>
          <wp:inline distT="0" distB="0" distL="0" distR="0">
            <wp:extent cx="2968625" cy="1735198"/>
            <wp:effectExtent l="19050" t="0" r="3175" b="0"/>
            <wp:docPr id="10" name="Picture 1"/>
            <wp:cNvGraphicFramePr/>
            <a:graphic xmlns:a="http://schemas.openxmlformats.org/drawingml/2006/main">
              <a:graphicData uri="http://schemas.openxmlformats.org/drawingml/2006/picture">
                <pic:pic xmlns:pic="http://schemas.openxmlformats.org/drawingml/2006/picture">
                  <pic:nvPicPr>
                    <pic:cNvPr id="32775" name="Picture 10"/>
                    <pic:cNvPicPr>
                      <a:picLocks noChangeAspect="1" noChangeArrowheads="1"/>
                    </pic:cNvPicPr>
                  </pic:nvPicPr>
                  <pic:blipFill>
                    <a:blip r:embed="rId21" cstate="print"/>
                    <a:srcRect/>
                    <a:stretch>
                      <a:fillRect/>
                    </a:stretch>
                  </pic:blipFill>
                  <pic:spPr bwMode="auto">
                    <a:xfrm>
                      <a:off x="0" y="0"/>
                      <a:ext cx="2968625" cy="1735198"/>
                    </a:xfrm>
                    <a:prstGeom prst="rect">
                      <a:avLst/>
                    </a:prstGeom>
                    <a:noFill/>
                    <a:ln w="9525">
                      <a:noFill/>
                      <a:miter lim="800000"/>
                      <a:headEnd/>
                      <a:tailEnd/>
                    </a:ln>
                  </pic:spPr>
                </pic:pic>
              </a:graphicData>
            </a:graphic>
          </wp:inline>
        </w:drawing>
      </w:r>
    </w:p>
    <w:p w:rsidR="008B0D57" w:rsidRDefault="008B0D57" w:rsidP="008B0D57">
      <w:pPr>
        <w:pStyle w:val="BodyTextIndent"/>
        <w:jc w:val="center"/>
        <w:rPr>
          <w:kern w:val="16"/>
        </w:rPr>
      </w:pPr>
      <w:r w:rsidRPr="004A4577">
        <w:rPr>
          <w:kern w:val="16"/>
        </w:rPr>
        <w:t xml:space="preserve">Figure </w:t>
      </w:r>
      <w:r>
        <w:rPr>
          <w:kern w:val="16"/>
        </w:rPr>
        <w:t>7</w:t>
      </w:r>
      <w:r w:rsidRPr="004A4577">
        <w:rPr>
          <w:kern w:val="16"/>
        </w:rPr>
        <w:t xml:space="preserve">: </w:t>
      </w:r>
      <w:r>
        <w:rPr>
          <w:kern w:val="16"/>
        </w:rPr>
        <w:t>Performa</w:t>
      </w:r>
      <w:r w:rsidR="00D70242">
        <w:rPr>
          <w:kern w:val="16"/>
        </w:rPr>
        <w:t>nce in virgin condition of Firm1</w:t>
      </w:r>
      <w:r>
        <w:rPr>
          <w:kern w:val="16"/>
        </w:rPr>
        <w:t xml:space="preserve"> magnets, split according to collar manufacturer</w:t>
      </w:r>
    </w:p>
    <w:p w:rsidR="008020C0" w:rsidRDefault="008020C0" w:rsidP="008B0D57">
      <w:pPr>
        <w:pStyle w:val="BodyTextIndent"/>
        <w:jc w:val="center"/>
        <w:rPr>
          <w:kern w:val="16"/>
        </w:rPr>
      </w:pPr>
    </w:p>
    <w:p w:rsidR="00F35E10" w:rsidRDefault="00F35E10" w:rsidP="00165665">
      <w:pPr>
        <w:pStyle w:val="BodyTextIndent"/>
        <w:rPr>
          <w:kern w:val="16"/>
        </w:rPr>
      </w:pPr>
      <w:r w:rsidRPr="00F35E10">
        <w:rPr>
          <w:noProof/>
          <w:kern w:val="16"/>
          <w:lang w:val="en-US"/>
        </w:rPr>
        <w:drawing>
          <wp:inline distT="0" distB="0" distL="0" distR="0">
            <wp:extent cx="2968625" cy="1735198"/>
            <wp:effectExtent l="19050" t="0" r="3175" b="0"/>
            <wp:docPr id="11" name="Picture 2"/>
            <wp:cNvGraphicFramePr/>
            <a:graphic xmlns:a="http://schemas.openxmlformats.org/drawingml/2006/main">
              <a:graphicData uri="http://schemas.openxmlformats.org/drawingml/2006/picture">
                <pic:pic xmlns:pic="http://schemas.openxmlformats.org/drawingml/2006/picture">
                  <pic:nvPicPr>
                    <pic:cNvPr id="32776" name="Picture 11"/>
                    <pic:cNvPicPr>
                      <a:picLocks noChangeAspect="1" noChangeArrowheads="1"/>
                    </pic:cNvPicPr>
                  </pic:nvPicPr>
                  <pic:blipFill>
                    <a:blip r:embed="rId22" cstate="print"/>
                    <a:srcRect/>
                    <a:stretch>
                      <a:fillRect/>
                    </a:stretch>
                  </pic:blipFill>
                  <pic:spPr bwMode="auto">
                    <a:xfrm>
                      <a:off x="0" y="0"/>
                      <a:ext cx="2968625" cy="1735198"/>
                    </a:xfrm>
                    <a:prstGeom prst="rect">
                      <a:avLst/>
                    </a:prstGeom>
                    <a:noFill/>
                    <a:ln w="9525">
                      <a:noFill/>
                      <a:miter lim="800000"/>
                      <a:headEnd/>
                      <a:tailEnd/>
                    </a:ln>
                  </pic:spPr>
                </pic:pic>
              </a:graphicData>
            </a:graphic>
          </wp:inline>
        </w:drawing>
      </w:r>
    </w:p>
    <w:p w:rsidR="000A3973" w:rsidRDefault="000A3973" w:rsidP="000A3973">
      <w:pPr>
        <w:pStyle w:val="BodyTextIndent"/>
        <w:jc w:val="center"/>
        <w:rPr>
          <w:kern w:val="16"/>
        </w:rPr>
      </w:pPr>
      <w:r w:rsidRPr="004A4577">
        <w:rPr>
          <w:kern w:val="16"/>
        </w:rPr>
        <w:t xml:space="preserve">Figure </w:t>
      </w:r>
      <w:r w:rsidR="008B0D57">
        <w:rPr>
          <w:kern w:val="16"/>
        </w:rPr>
        <w:t>8</w:t>
      </w:r>
      <w:r w:rsidRPr="004A4577">
        <w:rPr>
          <w:kern w:val="16"/>
        </w:rPr>
        <w:t xml:space="preserve">: </w:t>
      </w:r>
      <w:r>
        <w:rPr>
          <w:kern w:val="16"/>
        </w:rPr>
        <w:t>Performance in virgin condition of Firm3 magnets, split according to collar manufacturer</w:t>
      </w:r>
    </w:p>
    <w:p w:rsidR="003B50B8" w:rsidRDefault="003B50B8" w:rsidP="003B50B8">
      <w:pPr>
        <w:pStyle w:val="Heading2"/>
        <w:spacing w:before="180"/>
      </w:pPr>
      <w:r>
        <w:t xml:space="preserve">TESTS ON 3-4 MAGNETS DONE </w:t>
      </w:r>
      <w:r w:rsidR="00A64116">
        <w:t>AFTER THE INCIDENT</w:t>
      </w:r>
    </w:p>
    <w:p w:rsidR="002F0BF0" w:rsidRDefault="00A02B33" w:rsidP="00A02B33">
      <w:pPr>
        <w:pStyle w:val="BulletedList"/>
        <w:numPr>
          <w:ilvl w:val="0"/>
          <w:numId w:val="0"/>
        </w:numPr>
        <w:ind w:left="187"/>
        <w:rPr>
          <w:kern w:val="16"/>
        </w:rPr>
      </w:pPr>
      <w:r>
        <w:rPr>
          <w:kern w:val="16"/>
        </w:rPr>
        <w:t xml:space="preserve">After the 3-4 </w:t>
      </w:r>
      <w:proofErr w:type="gramStart"/>
      <w:r>
        <w:rPr>
          <w:kern w:val="16"/>
        </w:rPr>
        <w:t>incident</w:t>
      </w:r>
      <w:proofErr w:type="gramEnd"/>
      <w:r>
        <w:rPr>
          <w:kern w:val="16"/>
        </w:rPr>
        <w:t>, several tens of dipoles have been brought to surface and replaced with spare magnets. All the spare magnets were from Firm2</w:t>
      </w:r>
      <w:r w:rsidR="008020C0">
        <w:rPr>
          <w:kern w:val="16"/>
        </w:rPr>
        <w:t>, and had not been previously tested</w:t>
      </w:r>
      <w:r>
        <w:rPr>
          <w:kern w:val="16"/>
        </w:rPr>
        <w:t xml:space="preserve">. </w:t>
      </w:r>
      <w:r w:rsidR="008020C0">
        <w:rPr>
          <w:kern w:val="16"/>
        </w:rPr>
        <w:t xml:space="preserve">Therefore, </w:t>
      </w:r>
      <w:r w:rsidR="00A64116">
        <w:rPr>
          <w:kern w:val="16"/>
        </w:rPr>
        <w:t>2</w:t>
      </w:r>
      <w:r>
        <w:rPr>
          <w:kern w:val="16"/>
        </w:rPr>
        <w:t xml:space="preserve">6 </w:t>
      </w:r>
      <w:r w:rsidR="008020C0">
        <w:rPr>
          <w:kern w:val="16"/>
        </w:rPr>
        <w:t xml:space="preserve">Firm2 spare </w:t>
      </w:r>
      <w:r>
        <w:rPr>
          <w:kern w:val="16"/>
        </w:rPr>
        <w:t>dipoles have been tested</w:t>
      </w:r>
      <w:r w:rsidR="002F0BF0">
        <w:rPr>
          <w:kern w:val="16"/>
        </w:rPr>
        <w:t xml:space="preserve"> in virgin conditions</w:t>
      </w:r>
      <w:r w:rsidR="008020C0">
        <w:rPr>
          <w:kern w:val="16"/>
        </w:rPr>
        <w:t>:</w:t>
      </w:r>
      <w:r w:rsidR="00A64116">
        <w:rPr>
          <w:kern w:val="16"/>
        </w:rPr>
        <w:t xml:space="preserve"> they reached nominal with 25 quenches, i.e. ~1 quench</w:t>
      </w:r>
      <w:r>
        <w:rPr>
          <w:kern w:val="16"/>
        </w:rPr>
        <w:t xml:space="preserve"> per magnet</w:t>
      </w:r>
      <w:r w:rsidR="002F0BF0">
        <w:rPr>
          <w:kern w:val="16"/>
        </w:rPr>
        <w:t>. This behaviour is in agreement with the Firm2 data</w:t>
      </w:r>
      <w:r>
        <w:rPr>
          <w:kern w:val="16"/>
        </w:rPr>
        <w:t xml:space="preserve"> </w:t>
      </w:r>
      <w:r w:rsidR="002F0BF0">
        <w:rPr>
          <w:kern w:val="16"/>
        </w:rPr>
        <w:t>gathered during production in virgin conditions</w:t>
      </w:r>
      <w:r w:rsidR="008020C0">
        <w:rPr>
          <w:kern w:val="16"/>
        </w:rPr>
        <w:t xml:space="preserve"> (see Fig. 5)</w:t>
      </w:r>
      <w:r w:rsidR="00D70242">
        <w:rPr>
          <w:kern w:val="16"/>
        </w:rPr>
        <w:t>, i.e. they showed no performance degradation.</w:t>
      </w:r>
    </w:p>
    <w:p w:rsidR="002F0BF0" w:rsidRDefault="002F0BF0" w:rsidP="00A02B33">
      <w:pPr>
        <w:pStyle w:val="BulletedList"/>
        <w:numPr>
          <w:ilvl w:val="0"/>
          <w:numId w:val="0"/>
        </w:numPr>
        <w:ind w:left="187"/>
        <w:rPr>
          <w:kern w:val="16"/>
        </w:rPr>
      </w:pPr>
      <w:r>
        <w:rPr>
          <w:kern w:val="16"/>
        </w:rPr>
        <w:t xml:space="preserve">Among the dipoles </w:t>
      </w:r>
      <w:r w:rsidR="008020C0">
        <w:rPr>
          <w:kern w:val="16"/>
        </w:rPr>
        <w:t xml:space="preserve">removed from sector </w:t>
      </w:r>
      <w:r>
        <w:rPr>
          <w:kern w:val="16"/>
        </w:rPr>
        <w:t>3-4, 16 were not damaged and th</w:t>
      </w:r>
      <w:r w:rsidR="008020C0">
        <w:rPr>
          <w:kern w:val="16"/>
        </w:rPr>
        <w:t>ey were tested, and reinstalled</w:t>
      </w:r>
      <w:r>
        <w:rPr>
          <w:kern w:val="16"/>
        </w:rPr>
        <w:t xml:space="preserve">: 4 from Firm1, </w:t>
      </w:r>
      <w:r w:rsidR="00D70242">
        <w:rPr>
          <w:kern w:val="16"/>
        </w:rPr>
        <w:t>10 from Firm2 and 2 only</w:t>
      </w:r>
      <w:r>
        <w:rPr>
          <w:kern w:val="16"/>
        </w:rPr>
        <w:t xml:space="preserve"> from Firm3. The magnets needed between 0.25 and 0.6 que</w:t>
      </w:r>
      <w:r w:rsidR="008020C0">
        <w:rPr>
          <w:kern w:val="16"/>
        </w:rPr>
        <w:t>nch per magnet to reach nominal</w:t>
      </w:r>
      <w:r>
        <w:rPr>
          <w:kern w:val="16"/>
        </w:rPr>
        <w:t xml:space="preserve"> </w:t>
      </w:r>
      <w:r w:rsidR="008020C0">
        <w:rPr>
          <w:kern w:val="16"/>
        </w:rPr>
        <w:t xml:space="preserve">(see Table 5). </w:t>
      </w:r>
      <w:r>
        <w:rPr>
          <w:kern w:val="16"/>
        </w:rPr>
        <w:t xml:space="preserve">This is in agreement with what expected from the </w:t>
      </w:r>
      <w:proofErr w:type="spellStart"/>
      <w:r>
        <w:rPr>
          <w:kern w:val="16"/>
        </w:rPr>
        <w:t>MonteCarlo</w:t>
      </w:r>
      <w:proofErr w:type="spellEnd"/>
      <w:r>
        <w:rPr>
          <w:kern w:val="16"/>
        </w:rPr>
        <w:t xml:space="preserve"> method, within the thin statistics. The two Firm3 magnets took one quench to reach nominal, i.e. no significant degradation of the performance has been observed</w:t>
      </w:r>
      <w:r w:rsidR="00AC1E0A">
        <w:rPr>
          <w:kern w:val="16"/>
        </w:rPr>
        <w:t xml:space="preserve"> (see Table 5)</w:t>
      </w:r>
      <w:r>
        <w:rPr>
          <w:kern w:val="16"/>
        </w:rPr>
        <w:t>.</w:t>
      </w:r>
    </w:p>
    <w:p w:rsidR="002F0BF0" w:rsidRDefault="002F0BF0" w:rsidP="00A02B33">
      <w:pPr>
        <w:pStyle w:val="BulletedList"/>
        <w:numPr>
          <w:ilvl w:val="0"/>
          <w:numId w:val="0"/>
        </w:numPr>
        <w:ind w:left="187"/>
        <w:rPr>
          <w:kern w:val="16"/>
        </w:rPr>
      </w:pPr>
    </w:p>
    <w:p w:rsidR="00A02B33" w:rsidRDefault="002F0BF0" w:rsidP="00A64116">
      <w:pPr>
        <w:pStyle w:val="TableCaption"/>
        <w:rPr>
          <w:kern w:val="16"/>
        </w:rPr>
      </w:pPr>
      <w:r>
        <w:rPr>
          <w:kern w:val="16"/>
        </w:rPr>
        <w:t xml:space="preserve">Table 5: </w:t>
      </w:r>
      <w:r w:rsidR="00AC1E0A">
        <w:rPr>
          <w:kern w:val="16"/>
        </w:rPr>
        <w:t>Quench performance of magnets from 3-4 tested in 2009.</w:t>
      </w:r>
      <w:r w:rsidR="00A64116" w:rsidRPr="00A64116">
        <w:drawing>
          <wp:inline distT="0" distB="0" distL="0" distR="0">
            <wp:extent cx="2968625" cy="1096934"/>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968625" cy="1096934"/>
                    </a:xfrm>
                    <a:prstGeom prst="rect">
                      <a:avLst/>
                    </a:prstGeom>
                    <a:noFill/>
                    <a:ln w="9525">
                      <a:noFill/>
                      <a:miter lim="800000"/>
                      <a:headEnd/>
                      <a:tailEnd/>
                    </a:ln>
                  </pic:spPr>
                </pic:pic>
              </a:graphicData>
            </a:graphic>
          </wp:inline>
        </w:drawing>
      </w:r>
    </w:p>
    <w:p w:rsidR="00391B9A" w:rsidRDefault="00391B9A" w:rsidP="00391B9A">
      <w:pPr>
        <w:pStyle w:val="Heading2"/>
        <w:spacing w:before="180"/>
      </w:pPr>
      <w:r>
        <w:t>CONCLUSIONS</w:t>
      </w:r>
    </w:p>
    <w:p w:rsidR="00391B9A" w:rsidRDefault="00391B9A" w:rsidP="00391B9A">
      <w:pPr>
        <w:pStyle w:val="BodyTextIndent"/>
      </w:pPr>
      <w:r>
        <w:t xml:space="preserve">The energy of 6.5 </w:t>
      </w:r>
      <w:proofErr w:type="spellStart"/>
      <w:r>
        <w:t>TeV</w:t>
      </w:r>
      <w:proofErr w:type="spellEnd"/>
      <w:r>
        <w:t xml:space="preserve"> should be reached with a few quenches in the whole machine. In order to reach 7 </w:t>
      </w:r>
      <w:proofErr w:type="spellStart"/>
      <w:r>
        <w:t>TeV</w:t>
      </w:r>
      <w:proofErr w:type="spellEnd"/>
      <w:r>
        <w:t xml:space="preserve"> one can guess a number between 50 and 100 quenches per octant. This is only an educated guess, since no sectors have been reached this level of energy. We also discussed previous estimates giving about 25 quenches per octant, showing </w:t>
      </w:r>
      <w:r w:rsidR="00FF2242">
        <w:t>their justification.</w:t>
      </w:r>
    </w:p>
    <w:p w:rsidR="00A64116" w:rsidRDefault="00FF2242" w:rsidP="00391B9A">
      <w:pPr>
        <w:pStyle w:val="BodyTextIndent"/>
      </w:pPr>
      <w:r>
        <w:t xml:space="preserve">This longer training is due to magnets assembled by Firm3. Even though traces of an anomalous behaviour were present in the individual test data, </w:t>
      </w:r>
      <w:r w:rsidR="00A64116">
        <w:t>today we cannot manage to reproduce the behaviour during hardware commissioning on the ground of these data.</w:t>
      </w:r>
    </w:p>
    <w:p w:rsidR="00FF2242" w:rsidRDefault="00FF2242" w:rsidP="00391B9A">
      <w:pPr>
        <w:pStyle w:val="BodyTextIndent"/>
      </w:pPr>
      <w:r>
        <w:t>Coil modulus and storage time do not appear to play any role. What is attributed to the dipole assembler could as well be attributed to the collar manufacturer: Firm3 dipoles were all assembled with CP1 collar manufacturer, and vice-versa.</w:t>
      </w:r>
    </w:p>
    <w:p w:rsidR="00FF2242" w:rsidRDefault="00FF2242" w:rsidP="00391B9A">
      <w:pPr>
        <w:pStyle w:val="BodyTextIndent"/>
      </w:pPr>
      <w:r>
        <w:t xml:space="preserve">The recent tests on individual magnets removed from 3-4 sector show no degradation of performance </w:t>
      </w:r>
      <w:proofErr w:type="spellStart"/>
      <w:r>
        <w:t>w.r.t</w:t>
      </w:r>
      <w:proofErr w:type="spellEnd"/>
      <w:r>
        <w:t xml:space="preserve">. expectations. </w:t>
      </w:r>
    </w:p>
    <w:p w:rsidR="00165665" w:rsidRDefault="00165665" w:rsidP="00165665">
      <w:pPr>
        <w:pStyle w:val="Heading2"/>
      </w:pPr>
      <w:r>
        <w:t>References</w:t>
      </w:r>
    </w:p>
    <w:p w:rsidR="00165665" w:rsidRPr="00394008" w:rsidRDefault="00394008" w:rsidP="00165665">
      <w:pPr>
        <w:pStyle w:val="References"/>
        <w:rPr>
          <w:sz w:val="20"/>
          <w:szCs w:val="20"/>
        </w:rPr>
      </w:pPr>
      <w:r w:rsidRPr="00394008">
        <w:rPr>
          <w:sz w:val="20"/>
          <w:szCs w:val="20"/>
        </w:rPr>
        <w:t xml:space="preserve">A. </w:t>
      </w:r>
      <w:proofErr w:type="spellStart"/>
      <w:r w:rsidRPr="00394008">
        <w:rPr>
          <w:sz w:val="20"/>
          <w:szCs w:val="20"/>
        </w:rPr>
        <w:t>Verweij</w:t>
      </w:r>
      <w:proofErr w:type="spellEnd"/>
      <w:r w:rsidRPr="00394008">
        <w:rPr>
          <w:sz w:val="20"/>
          <w:szCs w:val="20"/>
        </w:rPr>
        <w:t>, “Training the dipoles”, Chamonix Workshop (2009).</w:t>
      </w:r>
    </w:p>
    <w:p w:rsidR="00394008" w:rsidRDefault="00394008" w:rsidP="00394008">
      <w:pPr>
        <w:pStyle w:val="References"/>
        <w:rPr>
          <w:sz w:val="20"/>
          <w:szCs w:val="20"/>
        </w:rPr>
      </w:pPr>
      <w:r w:rsidRPr="00394008">
        <w:rPr>
          <w:sz w:val="20"/>
          <w:szCs w:val="20"/>
        </w:rPr>
        <w:t xml:space="preserve">B. </w:t>
      </w:r>
      <w:proofErr w:type="spellStart"/>
      <w:r w:rsidRPr="00394008">
        <w:rPr>
          <w:sz w:val="20"/>
          <w:szCs w:val="20"/>
        </w:rPr>
        <w:t>Bellesia</w:t>
      </w:r>
      <w:proofErr w:type="spellEnd"/>
      <w:r w:rsidRPr="00394008">
        <w:rPr>
          <w:sz w:val="20"/>
          <w:szCs w:val="20"/>
        </w:rPr>
        <w:t xml:space="preserve">, N. Catalan </w:t>
      </w:r>
      <w:proofErr w:type="spellStart"/>
      <w:r w:rsidRPr="00394008">
        <w:rPr>
          <w:sz w:val="20"/>
          <w:szCs w:val="20"/>
        </w:rPr>
        <w:t>Lasheras</w:t>
      </w:r>
      <w:proofErr w:type="spellEnd"/>
      <w:r w:rsidRPr="00394008">
        <w:rPr>
          <w:sz w:val="20"/>
          <w:szCs w:val="20"/>
        </w:rPr>
        <w:t xml:space="preserve">, E. </w:t>
      </w:r>
      <w:proofErr w:type="spellStart"/>
      <w:r w:rsidRPr="00394008">
        <w:rPr>
          <w:sz w:val="20"/>
          <w:szCs w:val="20"/>
        </w:rPr>
        <w:t>Todesco</w:t>
      </w:r>
      <w:proofErr w:type="spellEnd"/>
      <w:r w:rsidRPr="00394008">
        <w:rPr>
          <w:sz w:val="20"/>
          <w:szCs w:val="20"/>
        </w:rPr>
        <w:t>, “Magnet (re)training”, Chamonix Workshop (2009).</w:t>
      </w:r>
    </w:p>
    <w:p w:rsidR="00394008" w:rsidRPr="00394008" w:rsidRDefault="00394008" w:rsidP="00394008">
      <w:pPr>
        <w:pStyle w:val="References"/>
        <w:rPr>
          <w:sz w:val="20"/>
          <w:szCs w:val="20"/>
        </w:rPr>
      </w:pPr>
      <w:r w:rsidRPr="00394008">
        <w:rPr>
          <w:sz w:val="20"/>
          <w:szCs w:val="20"/>
        </w:rPr>
        <w:t xml:space="preserve">C. </w:t>
      </w:r>
      <w:proofErr w:type="spellStart"/>
      <w:r w:rsidRPr="00394008">
        <w:rPr>
          <w:sz w:val="20"/>
          <w:szCs w:val="20"/>
        </w:rPr>
        <w:t>Lorin</w:t>
      </w:r>
      <w:proofErr w:type="spellEnd"/>
      <w:r w:rsidRPr="00394008">
        <w:rPr>
          <w:sz w:val="20"/>
          <w:szCs w:val="20"/>
        </w:rPr>
        <w:t xml:space="preserve">, A. </w:t>
      </w:r>
      <w:proofErr w:type="spellStart"/>
      <w:r w:rsidRPr="00394008">
        <w:rPr>
          <w:sz w:val="20"/>
          <w:szCs w:val="20"/>
        </w:rPr>
        <w:t>Siemko</w:t>
      </w:r>
      <w:proofErr w:type="spellEnd"/>
      <w:r w:rsidRPr="00394008">
        <w:rPr>
          <w:sz w:val="20"/>
          <w:szCs w:val="20"/>
        </w:rPr>
        <w:t xml:space="preserve">, E. </w:t>
      </w:r>
      <w:proofErr w:type="spellStart"/>
      <w:r w:rsidRPr="00394008">
        <w:rPr>
          <w:sz w:val="20"/>
          <w:szCs w:val="20"/>
        </w:rPr>
        <w:t>Todesco</w:t>
      </w:r>
      <w:proofErr w:type="spellEnd"/>
      <w:r w:rsidRPr="00394008">
        <w:rPr>
          <w:sz w:val="20"/>
          <w:szCs w:val="20"/>
        </w:rPr>
        <w:t xml:space="preserve">, A. </w:t>
      </w:r>
      <w:proofErr w:type="spellStart"/>
      <w:r w:rsidRPr="00394008">
        <w:rPr>
          <w:sz w:val="20"/>
          <w:szCs w:val="20"/>
        </w:rPr>
        <w:t>Verweij</w:t>
      </w:r>
      <w:proofErr w:type="spellEnd"/>
      <w:r w:rsidRPr="00394008">
        <w:rPr>
          <w:sz w:val="20"/>
          <w:szCs w:val="20"/>
        </w:rPr>
        <w:t xml:space="preserve">, “Predicting the Quench Behavior of the LHC Dipoles during Commissioning”, IEEE Trans. Appl. </w:t>
      </w:r>
      <w:proofErr w:type="spellStart"/>
      <w:r w:rsidRPr="00394008">
        <w:rPr>
          <w:sz w:val="20"/>
          <w:szCs w:val="20"/>
        </w:rPr>
        <w:t>Supercond</w:t>
      </w:r>
      <w:proofErr w:type="spellEnd"/>
      <w:r w:rsidRPr="00394008">
        <w:rPr>
          <w:sz w:val="20"/>
          <w:szCs w:val="20"/>
        </w:rPr>
        <w:t>. (2010)</w:t>
      </w:r>
      <w:r>
        <w:rPr>
          <w:sz w:val="20"/>
          <w:szCs w:val="20"/>
        </w:rPr>
        <w:t xml:space="preserve"> in press</w:t>
      </w:r>
      <w:r w:rsidRPr="00394008">
        <w:rPr>
          <w:sz w:val="20"/>
          <w:szCs w:val="20"/>
        </w:rPr>
        <w:t>.</w:t>
      </w:r>
    </w:p>
    <w:p w:rsidR="00394008" w:rsidRDefault="00394008" w:rsidP="00394008">
      <w:pPr>
        <w:pStyle w:val="References"/>
        <w:rPr>
          <w:sz w:val="20"/>
          <w:szCs w:val="20"/>
        </w:rPr>
      </w:pPr>
      <w:r w:rsidRPr="00394008">
        <w:rPr>
          <w:sz w:val="20"/>
          <w:szCs w:val="20"/>
        </w:rPr>
        <w:t xml:space="preserve">P. </w:t>
      </w:r>
      <w:proofErr w:type="spellStart"/>
      <w:r w:rsidRPr="00394008">
        <w:rPr>
          <w:sz w:val="20"/>
          <w:szCs w:val="20"/>
        </w:rPr>
        <w:t>Pugnat</w:t>
      </w:r>
      <w:proofErr w:type="spellEnd"/>
      <w:r w:rsidRPr="00394008">
        <w:rPr>
          <w:sz w:val="20"/>
          <w:szCs w:val="20"/>
        </w:rPr>
        <w:t xml:space="preserve">, A. </w:t>
      </w:r>
      <w:proofErr w:type="spellStart"/>
      <w:r w:rsidRPr="00394008">
        <w:rPr>
          <w:sz w:val="20"/>
          <w:szCs w:val="20"/>
        </w:rPr>
        <w:t>Siemko</w:t>
      </w:r>
      <w:proofErr w:type="spellEnd"/>
      <w:r w:rsidRPr="00394008">
        <w:rPr>
          <w:sz w:val="20"/>
          <w:szCs w:val="20"/>
        </w:rPr>
        <w:t xml:space="preserve">, “Review of quench performance of LHC main magnets “, </w:t>
      </w:r>
      <w:r w:rsidRPr="00394008">
        <w:rPr>
          <w:i/>
          <w:sz w:val="20"/>
          <w:szCs w:val="20"/>
        </w:rPr>
        <w:t xml:space="preserve">IEEE Trans. Appl. </w:t>
      </w:r>
      <w:proofErr w:type="spellStart"/>
      <w:r w:rsidRPr="00394008">
        <w:rPr>
          <w:i/>
          <w:sz w:val="20"/>
          <w:szCs w:val="20"/>
        </w:rPr>
        <w:t>Supercond</w:t>
      </w:r>
      <w:proofErr w:type="spellEnd"/>
      <w:r w:rsidRPr="00394008">
        <w:rPr>
          <w:i/>
          <w:sz w:val="20"/>
          <w:szCs w:val="20"/>
        </w:rPr>
        <w:t xml:space="preserve">. </w:t>
      </w:r>
      <w:r w:rsidRPr="00394008">
        <w:rPr>
          <w:b/>
          <w:sz w:val="20"/>
          <w:szCs w:val="20"/>
        </w:rPr>
        <w:t>17</w:t>
      </w:r>
      <w:r w:rsidRPr="00394008">
        <w:rPr>
          <w:sz w:val="20"/>
          <w:szCs w:val="20"/>
        </w:rPr>
        <w:t xml:space="preserve"> (2007) 1091.</w:t>
      </w:r>
    </w:p>
    <w:p w:rsidR="00394008" w:rsidRDefault="00394008" w:rsidP="00394008">
      <w:pPr>
        <w:pStyle w:val="References"/>
        <w:rPr>
          <w:sz w:val="20"/>
          <w:szCs w:val="20"/>
        </w:rPr>
      </w:pPr>
      <w:r>
        <w:rPr>
          <w:sz w:val="20"/>
          <w:szCs w:val="20"/>
        </w:rPr>
        <w:t xml:space="preserve">C. </w:t>
      </w:r>
      <w:proofErr w:type="spellStart"/>
      <w:r>
        <w:rPr>
          <w:sz w:val="20"/>
          <w:szCs w:val="20"/>
        </w:rPr>
        <w:t>Lorin</w:t>
      </w:r>
      <w:proofErr w:type="spellEnd"/>
      <w:r>
        <w:rPr>
          <w:sz w:val="20"/>
          <w:szCs w:val="20"/>
        </w:rPr>
        <w:t xml:space="preserve">, E. </w:t>
      </w:r>
      <w:proofErr w:type="spellStart"/>
      <w:r>
        <w:rPr>
          <w:sz w:val="20"/>
          <w:szCs w:val="20"/>
        </w:rPr>
        <w:t>Todesco</w:t>
      </w:r>
      <w:proofErr w:type="spellEnd"/>
      <w:r>
        <w:rPr>
          <w:sz w:val="20"/>
          <w:szCs w:val="20"/>
        </w:rPr>
        <w:t>, LHC Project Report, in preparation.</w:t>
      </w:r>
    </w:p>
    <w:p w:rsidR="00394008" w:rsidRPr="00394008" w:rsidRDefault="00394008" w:rsidP="00394008">
      <w:pPr>
        <w:pStyle w:val="References"/>
        <w:rPr>
          <w:sz w:val="20"/>
          <w:szCs w:val="20"/>
        </w:rPr>
      </w:pPr>
      <w:r>
        <w:rPr>
          <w:sz w:val="20"/>
          <w:szCs w:val="20"/>
        </w:rPr>
        <w:t xml:space="preserve">I. </w:t>
      </w:r>
      <w:proofErr w:type="spellStart"/>
      <w:r>
        <w:rPr>
          <w:sz w:val="20"/>
          <w:szCs w:val="20"/>
        </w:rPr>
        <w:t>Vanenkov</w:t>
      </w:r>
      <w:proofErr w:type="spellEnd"/>
      <w:r>
        <w:rPr>
          <w:sz w:val="20"/>
          <w:szCs w:val="20"/>
        </w:rPr>
        <w:t xml:space="preserve">, </w:t>
      </w:r>
      <w:hyperlink r:id="rId24" w:history="1">
        <w:r w:rsidRPr="00BE5E7F">
          <w:rPr>
            <w:rStyle w:val="Hyperlink"/>
            <w:sz w:val="20"/>
            <w:szCs w:val="20"/>
          </w:rPr>
          <w:t>http://lhc-div-mms.web.cern.ch/lhc-div-mms/MMSPAGES/MA/obs_coil.html</w:t>
        </w:r>
      </w:hyperlink>
      <w:r>
        <w:rPr>
          <w:sz w:val="20"/>
          <w:szCs w:val="20"/>
        </w:rPr>
        <w:t xml:space="preserve"> .</w:t>
      </w:r>
    </w:p>
    <w:p w:rsidR="00394008" w:rsidRPr="00394008" w:rsidRDefault="00394008" w:rsidP="00165665">
      <w:pPr>
        <w:pStyle w:val="ReferenceTextChar"/>
        <w:rPr>
          <w:lang w:val="en-US"/>
        </w:rPr>
      </w:pPr>
    </w:p>
    <w:p w:rsidR="00165665" w:rsidRPr="00E56880" w:rsidRDefault="00165665" w:rsidP="00165665">
      <w:pPr>
        <w:pStyle w:val="ReferenceTextChar"/>
        <w:rPr>
          <w:szCs w:val="20"/>
        </w:rPr>
      </w:pPr>
    </w:p>
    <w:p w:rsidR="00165665" w:rsidRPr="00B43D37" w:rsidRDefault="00165665" w:rsidP="00165665">
      <w:pPr>
        <w:pStyle w:val="ReferenceTextChar"/>
      </w:pPr>
    </w:p>
    <w:p w:rsidR="00165665" w:rsidRDefault="00165665" w:rsidP="00165665">
      <w:pPr>
        <w:pStyle w:val="BulletedList"/>
        <w:numPr>
          <w:ilvl w:val="0"/>
          <w:numId w:val="0"/>
        </w:numPr>
        <w:rPr>
          <w:kern w:val="16"/>
        </w:rPr>
        <w:sectPr w:rsid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B75D5E" w:rsidRPr="00165665" w:rsidRDefault="00B75D5E" w:rsidP="00165665"/>
    <w:sectPr w:rsidR="00B75D5E" w:rsidRP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9A" w:rsidRDefault="00391B9A"/>
  </w:endnote>
  <w:endnote w:type="continuationSeparator" w:id="0">
    <w:p w:rsidR="00391B9A" w:rsidRDefault="00391B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9A" w:rsidRDefault="00391B9A">
      <w:r>
        <w:separator/>
      </w:r>
    </w:p>
  </w:footnote>
  <w:footnote w:type="continuationSeparator" w:id="0">
    <w:p w:rsidR="00391B9A" w:rsidRDefault="00391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C06DE8"/>
    <w:multiLevelType w:val="multilevel"/>
    <w:tmpl w:val="464E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1C95259B"/>
    <w:multiLevelType w:val="hybridMultilevel"/>
    <w:tmpl w:val="CBD8AABC"/>
    <w:lvl w:ilvl="0" w:tplc="100C0001">
      <w:start w:val="1"/>
      <w:numFmt w:val="bullet"/>
      <w:lvlText w:val=""/>
      <w:lvlJc w:val="left"/>
      <w:pPr>
        <w:ind w:left="907" w:hanging="360"/>
      </w:pPr>
      <w:rPr>
        <w:rFonts w:ascii="Symbol" w:hAnsi="Symbol" w:hint="default"/>
      </w:rPr>
    </w:lvl>
    <w:lvl w:ilvl="1" w:tplc="100C0003" w:tentative="1">
      <w:start w:val="1"/>
      <w:numFmt w:val="bullet"/>
      <w:lvlText w:val="o"/>
      <w:lvlJc w:val="left"/>
      <w:pPr>
        <w:ind w:left="1627" w:hanging="360"/>
      </w:pPr>
      <w:rPr>
        <w:rFonts w:ascii="Courier New" w:hAnsi="Courier New" w:cs="Courier New" w:hint="default"/>
      </w:rPr>
    </w:lvl>
    <w:lvl w:ilvl="2" w:tplc="100C0005" w:tentative="1">
      <w:start w:val="1"/>
      <w:numFmt w:val="bullet"/>
      <w:lvlText w:val=""/>
      <w:lvlJc w:val="left"/>
      <w:pPr>
        <w:ind w:left="2347" w:hanging="360"/>
      </w:pPr>
      <w:rPr>
        <w:rFonts w:ascii="Wingdings" w:hAnsi="Wingdings" w:hint="default"/>
      </w:rPr>
    </w:lvl>
    <w:lvl w:ilvl="3" w:tplc="100C0001" w:tentative="1">
      <w:start w:val="1"/>
      <w:numFmt w:val="bullet"/>
      <w:lvlText w:val=""/>
      <w:lvlJc w:val="left"/>
      <w:pPr>
        <w:ind w:left="3067" w:hanging="360"/>
      </w:pPr>
      <w:rPr>
        <w:rFonts w:ascii="Symbol" w:hAnsi="Symbol" w:hint="default"/>
      </w:rPr>
    </w:lvl>
    <w:lvl w:ilvl="4" w:tplc="100C0003" w:tentative="1">
      <w:start w:val="1"/>
      <w:numFmt w:val="bullet"/>
      <w:lvlText w:val="o"/>
      <w:lvlJc w:val="left"/>
      <w:pPr>
        <w:ind w:left="3787" w:hanging="360"/>
      </w:pPr>
      <w:rPr>
        <w:rFonts w:ascii="Courier New" w:hAnsi="Courier New" w:cs="Courier New" w:hint="default"/>
      </w:rPr>
    </w:lvl>
    <w:lvl w:ilvl="5" w:tplc="100C0005" w:tentative="1">
      <w:start w:val="1"/>
      <w:numFmt w:val="bullet"/>
      <w:lvlText w:val=""/>
      <w:lvlJc w:val="left"/>
      <w:pPr>
        <w:ind w:left="4507" w:hanging="360"/>
      </w:pPr>
      <w:rPr>
        <w:rFonts w:ascii="Wingdings" w:hAnsi="Wingdings" w:hint="default"/>
      </w:rPr>
    </w:lvl>
    <w:lvl w:ilvl="6" w:tplc="100C0001" w:tentative="1">
      <w:start w:val="1"/>
      <w:numFmt w:val="bullet"/>
      <w:lvlText w:val=""/>
      <w:lvlJc w:val="left"/>
      <w:pPr>
        <w:ind w:left="5227" w:hanging="360"/>
      </w:pPr>
      <w:rPr>
        <w:rFonts w:ascii="Symbol" w:hAnsi="Symbol" w:hint="default"/>
      </w:rPr>
    </w:lvl>
    <w:lvl w:ilvl="7" w:tplc="100C0003" w:tentative="1">
      <w:start w:val="1"/>
      <w:numFmt w:val="bullet"/>
      <w:lvlText w:val="o"/>
      <w:lvlJc w:val="left"/>
      <w:pPr>
        <w:ind w:left="5947" w:hanging="360"/>
      </w:pPr>
      <w:rPr>
        <w:rFonts w:ascii="Courier New" w:hAnsi="Courier New" w:cs="Courier New" w:hint="default"/>
      </w:rPr>
    </w:lvl>
    <w:lvl w:ilvl="8" w:tplc="100C0005" w:tentative="1">
      <w:start w:val="1"/>
      <w:numFmt w:val="bullet"/>
      <w:lvlText w:val=""/>
      <w:lvlJc w:val="left"/>
      <w:pPr>
        <w:ind w:left="6667" w:hanging="360"/>
      </w:pPr>
      <w:rPr>
        <w:rFonts w:ascii="Wingdings" w:hAnsi="Wingdings" w:hint="default"/>
      </w:rPr>
    </w:lvl>
  </w:abstractNum>
  <w:abstractNum w:abstractNumId="14">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nsid w:val="465C6DC1"/>
    <w:multiLevelType w:val="hybridMultilevel"/>
    <w:tmpl w:val="C06EE5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8">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7"/>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1"/>
  </w:num>
  <w:num w:numId="17">
    <w:abstractNumId w:val="13"/>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hyphenationZone w:val="425"/>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911AAA"/>
    <w:rsid w:val="00052CB4"/>
    <w:rsid w:val="00074A20"/>
    <w:rsid w:val="000A2A9A"/>
    <w:rsid w:val="000A3973"/>
    <w:rsid w:val="000D0EE2"/>
    <w:rsid w:val="000D7004"/>
    <w:rsid w:val="000E1BEA"/>
    <w:rsid w:val="000E28FD"/>
    <w:rsid w:val="000E57D6"/>
    <w:rsid w:val="001029E1"/>
    <w:rsid w:val="0014145F"/>
    <w:rsid w:val="0015344C"/>
    <w:rsid w:val="00165665"/>
    <w:rsid w:val="001D6284"/>
    <w:rsid w:val="0021793D"/>
    <w:rsid w:val="00225541"/>
    <w:rsid w:val="002B30A1"/>
    <w:rsid w:val="002C6318"/>
    <w:rsid w:val="002D2A47"/>
    <w:rsid w:val="002F0BF0"/>
    <w:rsid w:val="003003BA"/>
    <w:rsid w:val="00321065"/>
    <w:rsid w:val="00324C72"/>
    <w:rsid w:val="003412C6"/>
    <w:rsid w:val="00370789"/>
    <w:rsid w:val="0037743E"/>
    <w:rsid w:val="00391B9A"/>
    <w:rsid w:val="00394008"/>
    <w:rsid w:val="003943D5"/>
    <w:rsid w:val="00394F4B"/>
    <w:rsid w:val="003A575A"/>
    <w:rsid w:val="003B50B8"/>
    <w:rsid w:val="003C2B35"/>
    <w:rsid w:val="003C52DD"/>
    <w:rsid w:val="003D72C9"/>
    <w:rsid w:val="003F2A4D"/>
    <w:rsid w:val="004A1546"/>
    <w:rsid w:val="004F2A1D"/>
    <w:rsid w:val="00506C77"/>
    <w:rsid w:val="005779BE"/>
    <w:rsid w:val="005909C8"/>
    <w:rsid w:val="005E24F7"/>
    <w:rsid w:val="005F6709"/>
    <w:rsid w:val="0065347C"/>
    <w:rsid w:val="006560C3"/>
    <w:rsid w:val="00662C6C"/>
    <w:rsid w:val="00670C5C"/>
    <w:rsid w:val="006845B5"/>
    <w:rsid w:val="00694AB5"/>
    <w:rsid w:val="006A2B5C"/>
    <w:rsid w:val="006C58CD"/>
    <w:rsid w:val="006F69A8"/>
    <w:rsid w:val="00705910"/>
    <w:rsid w:val="00751693"/>
    <w:rsid w:val="00761218"/>
    <w:rsid w:val="007B1A5A"/>
    <w:rsid w:val="007D1D1F"/>
    <w:rsid w:val="007F29FF"/>
    <w:rsid w:val="00801CB2"/>
    <w:rsid w:val="008020C0"/>
    <w:rsid w:val="00803D55"/>
    <w:rsid w:val="008A01FD"/>
    <w:rsid w:val="008A284F"/>
    <w:rsid w:val="008B0D57"/>
    <w:rsid w:val="008F5E79"/>
    <w:rsid w:val="00911AAA"/>
    <w:rsid w:val="009338E6"/>
    <w:rsid w:val="00963151"/>
    <w:rsid w:val="00963F80"/>
    <w:rsid w:val="00973EE7"/>
    <w:rsid w:val="009B15A2"/>
    <w:rsid w:val="009B5068"/>
    <w:rsid w:val="009C5D88"/>
    <w:rsid w:val="009D1438"/>
    <w:rsid w:val="009E24BD"/>
    <w:rsid w:val="00A02B33"/>
    <w:rsid w:val="00A045D8"/>
    <w:rsid w:val="00A06B28"/>
    <w:rsid w:val="00A45AC9"/>
    <w:rsid w:val="00A64116"/>
    <w:rsid w:val="00AB1310"/>
    <w:rsid w:val="00AC1E0A"/>
    <w:rsid w:val="00AD0058"/>
    <w:rsid w:val="00AD3ED4"/>
    <w:rsid w:val="00AF09C5"/>
    <w:rsid w:val="00B216A3"/>
    <w:rsid w:val="00B229FB"/>
    <w:rsid w:val="00B46CC2"/>
    <w:rsid w:val="00B660FB"/>
    <w:rsid w:val="00B75D5E"/>
    <w:rsid w:val="00BC515F"/>
    <w:rsid w:val="00BC6C9C"/>
    <w:rsid w:val="00C53798"/>
    <w:rsid w:val="00D510DE"/>
    <w:rsid w:val="00D550FB"/>
    <w:rsid w:val="00D70242"/>
    <w:rsid w:val="00DE79DC"/>
    <w:rsid w:val="00E47E1F"/>
    <w:rsid w:val="00EB1E89"/>
    <w:rsid w:val="00EC74E3"/>
    <w:rsid w:val="00EF4C46"/>
    <w:rsid w:val="00F35E10"/>
    <w:rsid w:val="00F4797F"/>
    <w:rsid w:val="00F634E1"/>
    <w:rsid w:val="00FA4B60"/>
    <w:rsid w:val="00FD3B45"/>
    <w:rsid w:val="00FF224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customStyle="1" w:styleId="References">
    <w:name w:val="References"/>
    <w:basedOn w:val="Normal"/>
    <w:rsid w:val="00394008"/>
    <w:pPr>
      <w:numPr>
        <w:numId w:val="19"/>
      </w:numPr>
      <w:autoSpaceDE w:val="0"/>
      <w:autoSpaceDN w:val="0"/>
    </w:pPr>
    <w:rPr>
      <w:rFonts w:ascii="Times New Roman" w:hAnsi="Times New Roman"/>
      <w:sz w:val="16"/>
      <w:szCs w:val="16"/>
      <w:lang w:val="en-US"/>
    </w:rPr>
  </w:style>
  <w:style w:type="paragraph" w:styleId="Title">
    <w:name w:val="Title"/>
    <w:basedOn w:val="Normal"/>
    <w:next w:val="Normal"/>
    <w:link w:val="TitleChar"/>
    <w:qFormat/>
    <w:rsid w:val="00394008"/>
    <w:pPr>
      <w:framePr w:w="9360" w:hSpace="187" w:vSpace="187" w:wrap="notBeside" w:vAnchor="text" w:hAnchor="page" w:xAlign="center" w:y="1"/>
      <w:autoSpaceDE w:val="0"/>
      <w:autoSpaceDN w:val="0"/>
      <w:jc w:val="center"/>
    </w:pPr>
    <w:rPr>
      <w:rFonts w:ascii="Times New Roman" w:hAnsi="Times New Roman"/>
      <w:kern w:val="28"/>
      <w:sz w:val="48"/>
      <w:szCs w:val="48"/>
      <w:lang w:val="en-US"/>
    </w:rPr>
  </w:style>
  <w:style w:type="character" w:customStyle="1" w:styleId="TitleChar">
    <w:name w:val="Title Char"/>
    <w:basedOn w:val="DefaultParagraphFont"/>
    <w:link w:val="Title"/>
    <w:rsid w:val="00394008"/>
    <w:rPr>
      <w:kern w:val="28"/>
      <w:sz w:val="48"/>
      <w:szCs w:val="48"/>
    </w:rPr>
  </w:style>
</w:styles>
</file>

<file path=word/webSettings.xml><?xml version="1.0" encoding="utf-8"?>
<w:webSettings xmlns:r="http://schemas.openxmlformats.org/officeDocument/2006/relationships" xmlns:w="http://schemas.openxmlformats.org/wordprocessingml/2006/main">
  <w:divs>
    <w:div w:id="11557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60179">
          <w:marLeft w:val="0"/>
          <w:marRight w:val="0"/>
          <w:marTop w:val="0"/>
          <w:marBottom w:val="0"/>
          <w:divBdr>
            <w:top w:val="none" w:sz="0" w:space="0" w:color="auto"/>
            <w:left w:val="none" w:sz="0" w:space="0" w:color="auto"/>
            <w:bottom w:val="none" w:sz="0" w:space="0" w:color="auto"/>
            <w:right w:val="none" w:sz="0" w:space="0" w:color="auto"/>
          </w:divBdr>
          <w:divsChild>
            <w:div w:id="1390761603">
              <w:marLeft w:val="0"/>
              <w:marRight w:val="0"/>
              <w:marTop w:val="270"/>
              <w:marBottom w:val="450"/>
              <w:divBdr>
                <w:top w:val="none" w:sz="0" w:space="0" w:color="auto"/>
                <w:left w:val="none" w:sz="0" w:space="0" w:color="auto"/>
                <w:bottom w:val="none" w:sz="0" w:space="0" w:color="auto"/>
                <w:right w:val="none" w:sz="0" w:space="0" w:color="auto"/>
              </w:divBdr>
              <w:divsChild>
                <w:div w:id="589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4163">
      <w:bodyDiv w:val="1"/>
      <w:marLeft w:val="0"/>
      <w:marRight w:val="0"/>
      <w:marTop w:val="0"/>
      <w:marBottom w:val="0"/>
      <w:divBdr>
        <w:top w:val="none" w:sz="0" w:space="0" w:color="auto"/>
        <w:left w:val="none" w:sz="0" w:space="0" w:color="auto"/>
        <w:bottom w:val="none" w:sz="0" w:space="0" w:color="auto"/>
        <w:right w:val="none" w:sz="0" w:space="0" w:color="auto"/>
      </w:divBdr>
      <w:divsChild>
        <w:div w:id="789134196">
          <w:marLeft w:val="0"/>
          <w:marRight w:val="0"/>
          <w:marTop w:val="0"/>
          <w:marBottom w:val="0"/>
          <w:divBdr>
            <w:top w:val="none" w:sz="0" w:space="0" w:color="auto"/>
            <w:left w:val="none" w:sz="0" w:space="0" w:color="auto"/>
            <w:bottom w:val="none" w:sz="0" w:space="0" w:color="auto"/>
            <w:right w:val="none" w:sz="0" w:space="0" w:color="auto"/>
          </w:divBdr>
          <w:divsChild>
            <w:div w:id="1850291045">
              <w:marLeft w:val="0"/>
              <w:marRight w:val="0"/>
              <w:marTop w:val="270"/>
              <w:marBottom w:val="450"/>
              <w:divBdr>
                <w:top w:val="none" w:sz="0" w:space="0" w:color="auto"/>
                <w:left w:val="none" w:sz="0" w:space="0" w:color="auto"/>
                <w:bottom w:val="none" w:sz="0" w:space="0" w:color="auto"/>
                <w:right w:val="none" w:sz="0" w:space="0" w:color="auto"/>
              </w:divBdr>
              <w:divsChild>
                <w:div w:id="5758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lhc-div-mms.web.cern.ch/lhc-div-mms/MMSPAGES/MA/obs_coil.html"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et_cham_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FBEF-D3DA-4715-AA5B-297C55C0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et_cham_10.dotm</Template>
  <TotalTime>374</TotalTime>
  <Pages>5</Pages>
  <Words>2188</Words>
  <Characters>11025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etodesco</cp:lastModifiedBy>
  <cp:revision>17</cp:revision>
  <cp:lastPrinted>2009-04-17T15:52:00Z</cp:lastPrinted>
  <dcterms:created xsi:type="dcterms:W3CDTF">2010-02-27T22:07:00Z</dcterms:created>
  <dcterms:modified xsi:type="dcterms:W3CDTF">2010-03-03T16:18:00Z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