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516478" w14:textId="77777777" w:rsidR="0002329D" w:rsidRDefault="00054E92">
      <w:pPr>
        <w:pStyle w:val="Heading1"/>
        <w:rPr>
          <w:lang w:val="en-GB"/>
        </w:rPr>
      </w:pPr>
      <w:bookmarkStart w:id="0" w:name="_GoBack"/>
      <w:bookmarkEnd w:id="0"/>
      <w:r>
        <w:rPr>
          <w:lang w:val="en-GB"/>
        </w:rPr>
        <w:t>LSWG minutes (29</w:t>
      </w:r>
      <w:r>
        <w:rPr>
          <w:vertAlign w:val="superscript"/>
          <w:lang w:val="en-GB"/>
        </w:rPr>
        <w:t>th</w:t>
      </w:r>
      <w:r>
        <w:rPr>
          <w:lang w:val="en-GB"/>
        </w:rPr>
        <w:t xml:space="preserve"> November 2018)</w:t>
      </w:r>
    </w:p>
    <w:p w14:paraId="70883C9D" w14:textId="77777777" w:rsidR="0002329D" w:rsidRDefault="00054E92">
      <w:pPr>
        <w:pStyle w:val="NoSpacing"/>
        <w:jc w:val="both"/>
        <w:rPr>
          <w:rFonts w:ascii="Times New Roman" w:hAnsi="Times New Roman" w:cs="Times New Roman"/>
          <w:lang w:val="en-GB"/>
        </w:rPr>
      </w:pPr>
      <w:r>
        <w:rPr>
          <w:rFonts w:ascii="Times New Roman" w:hAnsi="Times New Roman" w:cs="Times New Roman"/>
          <w:lang w:val="en-GB"/>
        </w:rPr>
        <w:t xml:space="preserve">Present: A. Calia, M. Crouch, M. D’Andrea, S. Fartoukh, M. Hostettler, G. Iadarola, E. Maclean, D. Mirarchi, T. Persson, B. Petersen, A. Poyet, A. Rossi, M. Solfaroli, G. Sterbini, C. Schwick, H. Timko, R. Tomas, J. </w:t>
      </w:r>
      <w:r>
        <w:rPr>
          <w:rFonts w:ascii="Times New Roman" w:hAnsi="Times New Roman" w:cs="Times New Roman"/>
          <w:lang w:val="en-GB"/>
        </w:rPr>
        <w:t>Uythoven.</w:t>
      </w:r>
    </w:p>
    <w:p w14:paraId="358A37F7" w14:textId="77777777" w:rsidR="0002329D" w:rsidRDefault="00054E92">
      <w:pPr>
        <w:jc w:val="both"/>
      </w:pPr>
      <w:hyperlink r:id="rId4">
        <w:r>
          <w:rPr>
            <w:rStyle w:val="InternetLink"/>
          </w:rPr>
          <w:t>https://indico.cern.ch/event/772189/</w:t>
        </w:r>
      </w:hyperlink>
    </w:p>
    <w:p w14:paraId="1291CBFC" w14:textId="77777777" w:rsidR="0002329D" w:rsidRDefault="0002329D">
      <w:pPr>
        <w:jc w:val="both"/>
      </w:pPr>
    </w:p>
    <w:p w14:paraId="7E4B406F"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MD3343 &amp; MD3344 </w:t>
      </w:r>
      <w:r>
        <w:t xml:space="preserve">: </w:t>
      </w:r>
      <w:r>
        <w:rPr>
          <w:rFonts w:ascii="Times New Roman" w:hAnsi="Times New Roman" w:cs="Times New Roman"/>
          <w:b/>
          <w:lang w:val="en-US"/>
        </w:rPr>
        <w:t xml:space="preserve">automatic collimator alignment – cross talk of aligning two beams in parallel </w:t>
      </w:r>
      <w:r>
        <w:rPr>
          <w:rFonts w:ascii="Times New Roman" w:hAnsi="Times New Roman" w:cs="Times New Roman"/>
          <w:b/>
          <w:lang w:val="en-US"/>
        </w:rPr>
        <w:t>(G. Azzopardi)</w:t>
      </w:r>
    </w:p>
    <w:p w14:paraId="27F3E3E1" w14:textId="77777777" w:rsidR="0002329D" w:rsidRDefault="00054E92">
      <w:pPr>
        <w:jc w:val="both"/>
        <w:rPr>
          <w:rFonts w:ascii="Times New Roman" w:hAnsi="Times New Roman" w:cs="Times New Roman"/>
          <w:lang w:val="en-US"/>
        </w:rPr>
      </w:pPr>
      <w:r>
        <w:rPr>
          <w:rFonts w:ascii="Times New Roman" w:hAnsi="Times New Roman" w:cs="Times New Roman"/>
          <w:lang w:val="en-US"/>
        </w:rPr>
        <w:t>The results on automatic collimator align</w:t>
      </w:r>
      <w:r>
        <w:rPr>
          <w:rFonts w:ascii="Times New Roman" w:hAnsi="Times New Roman" w:cs="Times New Roman"/>
          <w:lang w:val="en-US"/>
        </w:rPr>
        <w:t>ment were presented. A cross-talk on BLM signal is present when aligning two beams in parallel. Analysis from 2018 alignment (not done in parallel) allowed to identify the BLM with highest cross-talk (TCLAs). From this model an algorithm alignment in paral</w:t>
      </w:r>
      <w:r>
        <w:rPr>
          <w:rFonts w:ascii="Times New Roman" w:hAnsi="Times New Roman" w:cs="Times New Roman"/>
          <w:lang w:val="en-US"/>
        </w:rPr>
        <w:t>lel of both beams was used to align all collimators in about 15 minutes.</w:t>
      </w:r>
    </w:p>
    <w:p w14:paraId="5279E476" w14:textId="3999E852" w:rsidR="0002329D" w:rsidRDefault="00054E92">
      <w:pPr>
        <w:jc w:val="both"/>
        <w:rPr>
          <w:rFonts w:ascii="Times New Roman" w:hAnsi="Times New Roman" w:cs="Times New Roman"/>
          <w:lang w:val="en-US"/>
        </w:rPr>
      </w:pPr>
      <w:r>
        <w:rPr>
          <w:rFonts w:ascii="Times New Roman" w:hAnsi="Times New Roman" w:cs="Times New Roman"/>
          <w:lang w:val="en-US"/>
        </w:rPr>
        <w:t>Results on automatic angular alignment were also presented. After an update of the FESA class, the new algorithm was successful. TCTPV.4R5.B2 that failed in 2017 was aligned, even tho</w:t>
      </w:r>
      <w:r>
        <w:rPr>
          <w:rFonts w:ascii="Times New Roman" w:hAnsi="Times New Roman" w:cs="Times New Roman"/>
          <w:lang w:val="en-US"/>
        </w:rPr>
        <w:t xml:space="preserve">ugh the results </w:t>
      </w:r>
      <w:r>
        <w:rPr>
          <w:rFonts w:ascii="Times New Roman" w:hAnsi="Times New Roman" w:cs="Times New Roman"/>
          <w:lang w:val="en-US"/>
        </w:rPr>
        <w:t xml:space="preserve">shown </w:t>
      </w:r>
      <w:r>
        <w:rPr>
          <w:rFonts w:ascii="Times New Roman" w:hAnsi="Times New Roman" w:cs="Times New Roman"/>
          <w:lang w:val="en-US"/>
        </w:rPr>
        <w:t>by some BPMs are still to be clarified. The cross-talk model has still to be added to the software.</w:t>
      </w:r>
    </w:p>
    <w:p w14:paraId="293E65C6" w14:textId="77777777" w:rsidR="0002329D" w:rsidRDefault="0002329D">
      <w:pPr>
        <w:jc w:val="both"/>
        <w:rPr>
          <w:rFonts w:ascii="Times New Roman" w:hAnsi="Times New Roman" w:cs="Times New Roman"/>
          <w:lang w:val="en-US"/>
        </w:rPr>
      </w:pPr>
    </w:p>
    <w:p w14:paraId="59D32DC7"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MD3324 </w:t>
      </w:r>
      <w:r>
        <w:rPr>
          <w:rFonts w:ascii="Times New Roman" w:hAnsi="Times New Roman" w:cs="Times New Roman"/>
          <w:b/>
          <w:lang w:val="en-US"/>
        </w:rPr>
        <w:t xml:space="preserve">counteracting coupling decay at injection </w:t>
      </w:r>
      <w:r>
        <w:rPr>
          <w:rFonts w:ascii="Times New Roman" w:hAnsi="Times New Roman" w:cs="Times New Roman"/>
          <w:b/>
          <w:lang w:val="en-US"/>
        </w:rPr>
        <w:t>(T. Persson)</w:t>
      </w:r>
    </w:p>
    <w:p w14:paraId="159004C3" w14:textId="77777777" w:rsidR="0002329D" w:rsidRDefault="00054E92">
      <w:pPr>
        <w:jc w:val="both"/>
      </w:pPr>
      <w:r>
        <w:rPr>
          <w:rFonts w:ascii="Times New Roman" w:hAnsi="Times New Roman" w:cs="Times New Roman"/>
          <w:lang w:val="en-US"/>
        </w:rPr>
        <w:t>Investigations were done on the coupling decay at injection, ide</w:t>
      </w:r>
      <w:r>
        <w:rPr>
          <w:rFonts w:ascii="Times New Roman" w:hAnsi="Times New Roman" w:cs="Times New Roman"/>
          <w:lang w:val="en-US"/>
        </w:rPr>
        <w:t>ntifying a correlation with the powering of b3 spool pieces. Misalignment and/or miss-powering of these circuits seems indeed to be the reason for the observed decay. The analysis was done on B2 were the static component of b3 correction is already not ide</w:t>
      </w:r>
      <w:r>
        <w:rPr>
          <w:rFonts w:ascii="Times New Roman" w:hAnsi="Times New Roman" w:cs="Times New Roman"/>
          <w:lang w:val="en-US"/>
        </w:rPr>
        <w:t xml:space="preserve">ally local, as the contribution from S78 is distributed on the other sectors (RCS.A78B2 has a short). </w:t>
      </w:r>
      <w:r>
        <w:rPr>
          <w:rFonts w:ascii="Times New Roman" w:hAnsi="Times New Roman" w:cs="Times New Roman"/>
          <w:lang w:val="en-US"/>
        </w:rPr>
        <w:t>A new knob that powers b3 unevenly around the ring was demonstrated to take care of the b3 decay without introducing any change in coupling.</w:t>
      </w:r>
      <w:r>
        <w:rPr>
          <w:rFonts w:ascii="Times New Roman" w:hAnsi="Times New Roman" w:cs="Times New Roman"/>
          <w:lang w:val="en-US"/>
        </w:rPr>
        <w:t xml:space="preserve"> This knob could be used by Fidel to cancel the dynamic b3 decay maintaining zero coupling. </w:t>
      </w:r>
      <w:r>
        <w:rPr>
          <w:rFonts w:ascii="Times New Roman" w:hAnsi="Times New Roman" w:cs="Times New Roman"/>
          <w:lang w:val="en-US"/>
        </w:rPr>
        <w:t>Promising results for Run3.</w:t>
      </w:r>
    </w:p>
    <w:p w14:paraId="51135BAB" w14:textId="77777777" w:rsidR="0002329D" w:rsidRDefault="0002329D">
      <w:pPr>
        <w:jc w:val="both"/>
        <w:rPr>
          <w:rFonts w:ascii="Times New Roman" w:hAnsi="Times New Roman" w:cs="Times New Roman"/>
          <w:lang w:val="en-US"/>
        </w:rPr>
      </w:pPr>
    </w:p>
    <w:p w14:paraId="6EB09D1D" w14:textId="77777777" w:rsidR="0002329D" w:rsidRDefault="00054E92">
      <w:pPr>
        <w:rPr>
          <w:rFonts w:ascii="Times New Roman" w:hAnsi="Times New Roman" w:cs="Times New Roman"/>
          <w:b/>
          <w:lang w:val="en-US"/>
        </w:rPr>
      </w:pPr>
      <w:r>
        <w:rPr>
          <w:rFonts w:ascii="Times New Roman" w:hAnsi="Times New Roman" w:cs="Times New Roman"/>
          <w:b/>
          <w:lang w:val="en-US"/>
        </w:rPr>
        <w:t>MD3263 LRBB (G. Sterbini)</w:t>
      </w:r>
    </w:p>
    <w:p w14:paraId="08885441" w14:textId="60727584" w:rsidR="0002329D" w:rsidRDefault="00054E92">
      <w:pPr>
        <w:jc w:val="both"/>
        <w:rPr>
          <w:rFonts w:ascii="Times New Roman" w:hAnsi="Times New Roman" w:cs="Times New Roman"/>
          <w:lang w:val="en-US"/>
        </w:rPr>
      </w:pPr>
      <w:r>
        <w:rPr>
          <w:rFonts w:ascii="Times New Roman" w:hAnsi="Times New Roman" w:cs="Times New Roman"/>
          <w:lang w:val="en-US"/>
        </w:rPr>
        <w:t xml:space="preserve">36 hours of MD were assigned in 2018 to study the effect of the compensation wires installed in IP1 and IP5. </w:t>
      </w:r>
      <w:r>
        <w:rPr>
          <w:rFonts w:ascii="Times New Roman" w:hAnsi="Times New Roman" w:cs="Times New Roman"/>
          <w:lang w:val="en-US"/>
        </w:rPr>
        <w:t>In MD#3 asymmetric beams were used and compensation was activated at different crossing angle levels (down to 130 urad). In MD#4 a validation fill was needed as the configuration of the wires was changed to quadrupolar connection. Then a fill with three tr</w:t>
      </w:r>
      <w:r>
        <w:rPr>
          <w:rFonts w:ascii="Times New Roman" w:hAnsi="Times New Roman" w:cs="Times New Roman"/>
          <w:lang w:val="en-US"/>
        </w:rPr>
        <w:t xml:space="preserve">ains was carried out. Scans of wires, crossing angle and octupoles were performed. The compensation effect was clearly visible, resulting in a gain of about 10 urad with the wires </w:t>
      </w:r>
      <w:r>
        <w:rPr>
          <w:rFonts w:ascii="Times New Roman" w:hAnsi="Times New Roman" w:cs="Times New Roman"/>
          <w:lang w:val="en-US"/>
        </w:rPr>
        <w:t>powered</w:t>
      </w:r>
      <w:r>
        <w:rPr>
          <w:rFonts w:ascii="Times New Roman" w:hAnsi="Times New Roman" w:cs="Times New Roman"/>
          <w:lang w:val="en-US"/>
        </w:rPr>
        <w:t>.</w:t>
      </w:r>
    </w:p>
    <w:p w14:paraId="7114F8AF" w14:textId="77777777" w:rsidR="0002329D" w:rsidRDefault="00054E92">
      <w:pPr>
        <w:jc w:val="both"/>
        <w:rPr>
          <w:rFonts w:ascii="Times New Roman" w:hAnsi="Times New Roman" w:cs="Times New Roman"/>
          <w:lang w:val="en-US"/>
        </w:rPr>
      </w:pPr>
      <w:r>
        <w:rPr>
          <w:rFonts w:ascii="Times New Roman" w:hAnsi="Times New Roman" w:cs="Times New Roman"/>
          <w:lang w:val="en-US"/>
        </w:rPr>
        <w:t>As end of MD, a test of main bend active filters was performed, s</w:t>
      </w:r>
      <w:r>
        <w:rPr>
          <w:rFonts w:ascii="Times New Roman" w:hAnsi="Times New Roman" w:cs="Times New Roman"/>
          <w:lang w:val="en-US"/>
        </w:rPr>
        <w:t>witching off all eight sectors singularly. A non-trivial impact of the spectra of the two beams was observed. The studies to model the observed response matrix are ongoing.</w:t>
      </w:r>
    </w:p>
    <w:p w14:paraId="4C953ED2" w14:textId="22134017" w:rsidR="0002329D" w:rsidRDefault="00054E92">
      <w:pPr>
        <w:jc w:val="both"/>
      </w:pPr>
      <w:r>
        <w:rPr>
          <w:rFonts w:ascii="Times New Roman" w:hAnsi="Times New Roman" w:cs="Times New Roman"/>
          <w:lang w:val="en-US"/>
        </w:rPr>
        <w:t xml:space="preserve">The possibility to change the configuration of the wires to have them on B1 </w:t>
      </w:r>
      <w:r>
        <w:rPr>
          <w:rFonts w:ascii="Times New Roman" w:hAnsi="Times New Roman" w:cs="Times New Roman"/>
          <w:lang w:val="en-US"/>
        </w:rPr>
        <w:t xml:space="preserve"> is being investigated.</w:t>
      </w:r>
    </w:p>
    <w:p w14:paraId="1497D1D6" w14:textId="77777777" w:rsidR="0002329D" w:rsidRDefault="0002329D">
      <w:pPr>
        <w:jc w:val="both"/>
        <w:rPr>
          <w:rFonts w:ascii="Times New Roman" w:hAnsi="Times New Roman" w:cs="Times New Roman"/>
          <w:lang w:val="en-US"/>
        </w:rPr>
      </w:pPr>
    </w:p>
    <w:p w14:paraId="1F59C687"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MD3270 </w:t>
      </w:r>
      <w:r>
        <w:rPr>
          <w:rFonts w:ascii="Times New Roman" w:hAnsi="Times New Roman" w:cs="Times New Roman"/>
          <w:b/>
          <w:lang w:val="en-US"/>
        </w:rPr>
        <w:t xml:space="preserve">Round ATS optics </w:t>
      </w:r>
      <w:r>
        <w:rPr>
          <w:rFonts w:ascii="Times New Roman" w:hAnsi="Times New Roman" w:cs="Times New Roman"/>
          <w:b/>
          <w:lang w:val="en-US"/>
        </w:rPr>
        <w:t xml:space="preserve">&amp; MD4023 </w:t>
      </w:r>
      <w:r>
        <w:rPr>
          <w:rFonts w:ascii="Times New Roman" w:hAnsi="Times New Roman" w:cs="Times New Roman"/>
          <w:b/>
          <w:lang w:val="en-US"/>
        </w:rPr>
        <w:t xml:space="preserve">TCDQ levelling </w:t>
      </w:r>
      <w:r>
        <w:rPr>
          <w:rFonts w:ascii="Times New Roman" w:hAnsi="Times New Roman" w:cs="Times New Roman"/>
          <w:b/>
          <w:lang w:val="en-US"/>
        </w:rPr>
        <w:t>(S. Fartoukh)</w:t>
      </w:r>
    </w:p>
    <w:p w14:paraId="5221DCF8" w14:textId="77777777" w:rsidR="0002329D" w:rsidRDefault="00054E92">
      <w:pPr>
        <w:jc w:val="both"/>
        <w:rPr>
          <w:rFonts w:ascii="Times New Roman" w:hAnsi="Times New Roman" w:cs="Times New Roman"/>
          <w:lang w:val="en-US"/>
        </w:rPr>
      </w:pPr>
      <w:r>
        <w:rPr>
          <w:rFonts w:ascii="Times New Roman" w:hAnsi="Times New Roman" w:cs="Times New Roman"/>
          <w:lang w:val="en-US"/>
        </w:rPr>
        <w:t>An intensity ramp-up was done on the combined ramp and double squeeze cycle. The capability to run the full cycle with negative octupole polarity was demonstrated. No in</w:t>
      </w:r>
      <w:r>
        <w:rPr>
          <w:rFonts w:ascii="Times New Roman" w:hAnsi="Times New Roman" w:cs="Times New Roman"/>
          <w:lang w:val="en-US"/>
        </w:rPr>
        <w:t xml:space="preserve">stabilities were observed when collapsing the separations. </w:t>
      </w:r>
    </w:p>
    <w:p w14:paraId="7826EB36" w14:textId="77777777" w:rsidR="0002329D" w:rsidRDefault="00054E92">
      <w:pPr>
        <w:jc w:val="both"/>
        <w:rPr>
          <w:rFonts w:ascii="Times New Roman" w:hAnsi="Times New Roman" w:cs="Times New Roman"/>
          <w:lang w:val="en-US"/>
        </w:rPr>
      </w:pPr>
      <w:r>
        <w:rPr>
          <w:rFonts w:ascii="Times New Roman" w:hAnsi="Times New Roman" w:cs="Times New Roman"/>
          <w:lang w:val="en-US"/>
        </w:rPr>
        <w:t xml:space="preserve">In MD#4 the cycle was used with 8b4e. At 800 bunch, high losses (~70%) at TCT at end of ramp were observed, due to non-optimized working point. The ~1600 bunches fill was then </w:t>
      </w:r>
      <w:r>
        <w:rPr>
          <w:rFonts w:ascii="Times New Roman" w:hAnsi="Times New Roman" w:cs="Times New Roman"/>
          <w:lang w:val="en-US"/>
        </w:rPr>
        <w:lastRenderedPageBreak/>
        <w:t>performed on the nom</w:t>
      </w:r>
      <w:r>
        <w:rPr>
          <w:rFonts w:ascii="Times New Roman" w:hAnsi="Times New Roman" w:cs="Times New Roman"/>
          <w:lang w:val="en-US"/>
        </w:rPr>
        <w:t>inal cycle. BBLR studies were carried out with 1.5-1.6e11 p/b, with 120 urad half crossing angle.</w:t>
      </w:r>
    </w:p>
    <w:p w14:paraId="081A5DA6" w14:textId="77777777" w:rsidR="0002329D" w:rsidRDefault="00054E92">
      <w:pPr>
        <w:jc w:val="both"/>
        <w:rPr>
          <w:rFonts w:ascii="Times New Roman" w:hAnsi="Times New Roman" w:cs="Times New Roman"/>
          <w:lang w:val="en-US"/>
        </w:rPr>
      </w:pPr>
      <w:r>
        <w:rPr>
          <w:rFonts w:ascii="Times New Roman" w:hAnsi="Times New Roman" w:cs="Times New Roman"/>
          <w:lang w:val="en-US"/>
        </w:rPr>
        <w:t>The results of the MD performed at injection to demonstrate the possibility of moving the orbit and one jaw of the TCSP were presented. The TCDQ levelling was</w:t>
      </w:r>
      <w:r>
        <w:rPr>
          <w:rFonts w:ascii="Times New Roman" w:hAnsi="Times New Roman" w:cs="Times New Roman"/>
          <w:lang w:val="en-US"/>
        </w:rPr>
        <w:t xml:space="preserve"> demonstrated.</w:t>
      </w:r>
    </w:p>
    <w:p w14:paraId="7687537C" w14:textId="77777777" w:rsidR="0002329D" w:rsidRDefault="0002329D">
      <w:pPr>
        <w:jc w:val="both"/>
        <w:rPr>
          <w:rFonts w:ascii="Times New Roman" w:hAnsi="Times New Roman" w:cs="Times New Roman"/>
          <w:lang w:val="en-US"/>
        </w:rPr>
      </w:pPr>
    </w:p>
    <w:p w14:paraId="409AC65D"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MD3165 </w:t>
      </w:r>
      <w:r>
        <w:rPr>
          <w:rFonts w:ascii="Times New Roman" w:hAnsi="Times New Roman" w:cs="Times New Roman"/>
          <w:b/>
          <w:lang w:val="en-US"/>
        </w:rPr>
        <w:t xml:space="preserve">RF power limitations </w:t>
      </w:r>
      <w:r>
        <w:rPr>
          <w:rFonts w:ascii="Times New Roman" w:hAnsi="Times New Roman" w:cs="Times New Roman"/>
          <w:b/>
          <w:lang w:val="en-US"/>
        </w:rPr>
        <w:t xml:space="preserve">&amp; MD3166 </w:t>
      </w:r>
      <w:r>
        <w:rPr>
          <w:rFonts w:ascii="Times New Roman" w:hAnsi="Times New Roman" w:cs="Times New Roman"/>
          <w:b/>
          <w:lang w:val="en-US"/>
        </w:rPr>
        <w:t xml:space="preserve">RF injection oscillations </w:t>
      </w:r>
      <w:r>
        <w:rPr>
          <w:rFonts w:ascii="Times New Roman" w:hAnsi="Times New Roman" w:cs="Times New Roman"/>
          <w:b/>
          <w:lang w:val="en-US"/>
        </w:rPr>
        <w:t>(H. Timko)</w:t>
      </w:r>
    </w:p>
    <w:p w14:paraId="0CB8C39E" w14:textId="77777777" w:rsidR="0002329D" w:rsidRDefault="00054E92">
      <w:pPr>
        <w:jc w:val="both"/>
        <w:rPr>
          <w:rFonts w:ascii="Times New Roman" w:hAnsi="Times New Roman" w:cs="Times New Roman"/>
          <w:lang w:val="en-US"/>
        </w:rPr>
      </w:pPr>
      <w:r>
        <w:rPr>
          <w:rFonts w:ascii="Times New Roman" w:hAnsi="Times New Roman" w:cs="Times New Roman"/>
          <w:lang w:val="en-US"/>
        </w:rPr>
        <w:t>The MD was performed both in MD#3 and MD#4, with similar conditions. Cavity tune and loaded Q were optimized to measure the maximum RF voltage maintainable with beam.</w:t>
      </w:r>
      <w:r>
        <w:rPr>
          <w:rFonts w:ascii="Times New Roman" w:hAnsi="Times New Roman" w:cs="Times New Roman"/>
          <w:lang w:val="en-US"/>
        </w:rPr>
        <w:t xml:space="preserve"> In MD#4 higher beam intensity was injected with klystrons at 58 kV and the voltage was halved on the weakest line. In MD#4 1.3 MV/cavity was achieved on 15 out of 16 cavities. More precise analysis is needed to define an operational margin.</w:t>
      </w:r>
    </w:p>
    <w:p w14:paraId="2735321B" w14:textId="578E84DA" w:rsidR="0002329D" w:rsidRDefault="00054E92">
      <w:pPr>
        <w:jc w:val="both"/>
        <w:rPr>
          <w:rFonts w:ascii="Times New Roman" w:hAnsi="Times New Roman" w:cs="Times New Roman"/>
          <w:lang w:val="en-US"/>
        </w:rPr>
      </w:pPr>
      <w:r>
        <w:rPr>
          <w:rFonts w:ascii="Times New Roman" w:hAnsi="Times New Roman" w:cs="Times New Roman"/>
          <w:lang w:val="en-US"/>
        </w:rPr>
        <w:t>MD3166 RF inje</w:t>
      </w:r>
      <w:r>
        <w:rPr>
          <w:rFonts w:ascii="Times New Roman" w:hAnsi="Times New Roman" w:cs="Times New Roman"/>
          <w:lang w:val="en-US"/>
        </w:rPr>
        <w:t>ction oscillations throughout the ramp. Two tests were performed to identify the origin of the injection oscillation that are observed to continue until high energy. Twenty injections of 48b were done with 6 MV, then the same amount of injections was perfo</w:t>
      </w:r>
      <w:r>
        <w:rPr>
          <w:rFonts w:ascii="Times New Roman" w:hAnsi="Times New Roman" w:cs="Times New Roman"/>
          <w:lang w:val="en-US"/>
        </w:rPr>
        <w:t>rmed with single bunches into 4 MV. The second conditions showed better d</w:t>
      </w:r>
      <w:r>
        <w:rPr>
          <w:rFonts w:ascii="Times New Roman" w:hAnsi="Times New Roman" w:cs="Times New Roman"/>
          <w:lang w:val="en-US"/>
        </w:rPr>
        <w:t>a</w:t>
      </w:r>
      <w:r>
        <w:rPr>
          <w:rFonts w:ascii="Times New Roman" w:hAnsi="Times New Roman" w:cs="Times New Roman"/>
          <w:lang w:val="en-US"/>
        </w:rPr>
        <w:t>mping, but the “hole</w:t>
      </w:r>
      <w:r>
        <w:rPr>
          <w:rFonts w:ascii="Times New Roman" w:hAnsi="Times New Roman" w:cs="Times New Roman"/>
          <w:lang w:val="en-US"/>
        </w:rPr>
        <w:t>”</w:t>
      </w:r>
      <w:r>
        <w:rPr>
          <w:rFonts w:ascii="Times New Roman" w:hAnsi="Times New Roman" w:cs="Times New Roman"/>
          <w:lang w:val="en-US"/>
        </w:rPr>
        <w:t xml:space="preserve"> in the particle distribution was observed again. Similar conditions are observed at flattop. When opening the phase loop, the area fills up in about 10/15 min.</w:t>
      </w:r>
    </w:p>
    <w:p w14:paraId="3ED00801" w14:textId="77777777" w:rsidR="0002329D" w:rsidRDefault="00054E92">
      <w:pPr>
        <w:jc w:val="both"/>
        <w:rPr>
          <w:rFonts w:ascii="Times New Roman" w:hAnsi="Times New Roman" w:cs="Times New Roman"/>
          <w:lang w:val="en-US"/>
        </w:rPr>
      </w:pPr>
      <w:r>
        <w:rPr>
          <w:rFonts w:ascii="Times New Roman" w:hAnsi="Times New Roman" w:cs="Times New Roman"/>
          <w:lang w:val="en-US"/>
        </w:rPr>
        <w:t>MD4484 was cancelled due to lack of availability of the machine.</w:t>
      </w:r>
    </w:p>
    <w:p w14:paraId="4DCFF22B" w14:textId="77777777" w:rsidR="0002329D" w:rsidRDefault="0002329D">
      <w:pPr>
        <w:jc w:val="both"/>
        <w:rPr>
          <w:rFonts w:ascii="Times New Roman" w:hAnsi="Times New Roman" w:cs="Times New Roman"/>
          <w:lang w:val="en-US"/>
        </w:rPr>
      </w:pPr>
    </w:p>
    <w:p w14:paraId="3D8A335D" w14:textId="77777777" w:rsidR="0002329D" w:rsidRDefault="0002329D">
      <w:pPr>
        <w:jc w:val="both"/>
        <w:rPr>
          <w:rFonts w:ascii="Times New Roman" w:hAnsi="Times New Roman" w:cs="Times New Roman"/>
          <w:lang w:val="en-US"/>
        </w:rPr>
      </w:pPr>
    </w:p>
    <w:p w14:paraId="79E14528" w14:textId="118B7883" w:rsidR="0002329D" w:rsidRDefault="00054E92">
      <w:pPr>
        <w:rPr>
          <w:rFonts w:ascii="Times New Roman" w:hAnsi="Times New Roman" w:cs="Times New Roman"/>
          <w:b/>
          <w:lang w:val="en-US"/>
        </w:rPr>
      </w:pPr>
      <w:r>
        <w:rPr>
          <w:rFonts w:ascii="Times New Roman" w:hAnsi="Times New Roman" w:cs="Times New Roman"/>
          <w:b/>
          <w:lang w:val="en-US"/>
        </w:rPr>
        <w:t xml:space="preserve">MD3298 &amp; MD3300 &amp; MD4203 &amp; MD2484 &amp; MD3295 </w:t>
      </w:r>
      <w:r>
        <w:rPr>
          <w:rFonts w:ascii="Times New Roman" w:hAnsi="Times New Roman" w:cs="Times New Roman"/>
          <w:b/>
          <w:lang w:val="en-US"/>
        </w:rPr>
        <w:t xml:space="preserve">Heat load &amp; e-cloud </w:t>
      </w:r>
      <w:r>
        <w:rPr>
          <w:rFonts w:ascii="Times New Roman" w:hAnsi="Times New Roman" w:cs="Times New Roman"/>
          <w:b/>
          <w:lang w:val="en-US"/>
        </w:rPr>
        <w:t>(G.</w:t>
      </w:r>
      <w:r>
        <w:rPr>
          <w:rFonts w:ascii="Times New Roman" w:hAnsi="Times New Roman" w:cs="Times New Roman"/>
          <w:b/>
          <w:lang w:val="en-US"/>
        </w:rPr>
        <w:t> </w:t>
      </w:r>
      <w:r>
        <w:rPr>
          <w:rFonts w:ascii="Times New Roman" w:hAnsi="Times New Roman" w:cs="Times New Roman"/>
          <w:b/>
          <w:lang w:val="en-US"/>
        </w:rPr>
        <w:t>Iadarola)</w:t>
      </w:r>
    </w:p>
    <w:p w14:paraId="52270F95" w14:textId="2E9B00D9" w:rsidR="0002329D" w:rsidRDefault="00054E92">
      <w:pPr>
        <w:jc w:val="both"/>
      </w:pPr>
      <w:r>
        <w:rPr>
          <w:rFonts w:ascii="Times New Roman" w:hAnsi="Times New Roman" w:cs="Times New Roman"/>
          <w:lang w:val="en-US"/>
        </w:rPr>
        <w:t xml:space="preserve">The results of several MDs carried out on heat load studies were presented. The heat load dependence on bunch intensity was characterized. Low limit is found at 3e10 p/b. The high intensity limit was scanned with 12 bunches as this beam can be injected </w:t>
      </w:r>
      <w:r>
        <w:rPr>
          <w:rFonts w:ascii="Times New Roman" w:hAnsi="Times New Roman" w:cs="Times New Roman"/>
          <w:lang w:val="en-US"/>
        </w:rPr>
        <w:t>wit</w:t>
      </w:r>
      <w:r>
        <w:rPr>
          <w:rFonts w:ascii="Times New Roman" w:hAnsi="Times New Roman" w:cs="Times New Roman"/>
          <w:lang w:val="en-US"/>
        </w:rPr>
        <w:t xml:space="preserve">h </w:t>
      </w:r>
      <w:r>
        <w:rPr>
          <w:rFonts w:ascii="Times New Roman" w:hAnsi="Times New Roman" w:cs="Times New Roman"/>
          <w:lang w:val="en-US"/>
        </w:rPr>
        <w:t xml:space="preserve">up to 1.9e11 p/b. The results match well with simulation expectations. </w:t>
      </w:r>
      <w:r>
        <w:rPr>
          <w:rFonts w:ascii="Times New Roman" w:hAnsi="Times New Roman" w:cs="Times New Roman"/>
          <w:lang w:val="en-US"/>
        </w:rPr>
        <w:t xml:space="preserve">Results indicate </w:t>
      </w:r>
      <w:r>
        <w:rPr>
          <w:rFonts w:ascii="Times New Roman" w:hAnsi="Times New Roman" w:cs="Times New Roman"/>
          <w:lang w:val="en-US"/>
        </w:rPr>
        <w:t xml:space="preserve"> that heat load in LHC is dominated by dipoles.</w:t>
      </w:r>
    </w:p>
    <w:p w14:paraId="3F8DB14D" w14:textId="77777777" w:rsidR="0002329D" w:rsidRDefault="00054E92">
      <w:pPr>
        <w:jc w:val="both"/>
        <w:rPr>
          <w:rFonts w:ascii="Times New Roman" w:hAnsi="Times New Roman" w:cs="Times New Roman"/>
          <w:lang w:val="en-US"/>
        </w:rPr>
      </w:pPr>
      <w:r>
        <w:rPr>
          <w:rFonts w:ascii="Times New Roman" w:hAnsi="Times New Roman" w:cs="Times New Roman"/>
          <w:lang w:val="en-US"/>
        </w:rPr>
        <w:t>Studies were also done with 8b4e beam (1.6</w:t>
      </w:r>
      <w:r>
        <w:rPr>
          <w:rFonts w:ascii="Times New Roman" w:hAnsi="Times New Roman" w:cs="Times New Roman"/>
          <w:lang w:val="en-US"/>
        </w:rPr>
        <w:t>e11</w:t>
      </w:r>
      <w:r>
        <w:rPr>
          <w:rFonts w:ascii="Times New Roman" w:hAnsi="Times New Roman" w:cs="Times New Roman"/>
          <w:lang w:val="en-US"/>
        </w:rPr>
        <w:t xml:space="preserve"> p/b). As expect</w:t>
      </w:r>
      <w:r>
        <w:rPr>
          <w:rFonts w:ascii="Times New Roman" w:hAnsi="Times New Roman" w:cs="Times New Roman"/>
          <w:lang w:val="en-US"/>
        </w:rPr>
        <w:t>ed, the heat load is drastically reduced with this type of beam.</w:t>
      </w:r>
    </w:p>
    <w:p w14:paraId="39D7BF93" w14:textId="77777777" w:rsidR="0002329D" w:rsidRDefault="00054E92">
      <w:pPr>
        <w:jc w:val="both"/>
        <w:rPr>
          <w:rFonts w:ascii="Times New Roman" w:hAnsi="Times New Roman" w:cs="Times New Roman"/>
          <w:lang w:val="en-US"/>
        </w:rPr>
      </w:pPr>
      <w:r>
        <w:rPr>
          <w:rFonts w:ascii="Times New Roman" w:hAnsi="Times New Roman" w:cs="Times New Roman"/>
          <w:lang w:val="en-US"/>
        </w:rPr>
        <w:t>Characterization of heat load vs bunch length was also done. Length of bunches was varied between 0.85 ns and 1.6 ns, observing a decrease of heat load in dipoles, but increase in quadrupoles</w:t>
      </w:r>
      <w:r>
        <w:rPr>
          <w:rFonts w:ascii="Times New Roman" w:hAnsi="Times New Roman" w:cs="Times New Roman"/>
          <w:lang w:val="en-US"/>
        </w:rPr>
        <w:t xml:space="preserve"> for the longer bunch length, while the total contribution goes down. This behavior confirms the fact that heat load is dominated by dipoles.</w:t>
      </w:r>
    </w:p>
    <w:p w14:paraId="24DD33C2" w14:textId="0B7C54B6" w:rsidR="0002329D" w:rsidRDefault="00054E92">
      <w:pPr>
        <w:jc w:val="both"/>
      </w:pPr>
      <w:r>
        <w:rPr>
          <w:rFonts w:ascii="Times New Roman" w:hAnsi="Times New Roman" w:cs="Times New Roman"/>
          <w:lang w:val="en-US"/>
        </w:rPr>
        <w:t>Finally, the distribution of heat load on the two magnets aperture was checked, showing some asymmetries between B</w:t>
      </w:r>
      <w:r>
        <w:rPr>
          <w:rFonts w:ascii="Times New Roman" w:hAnsi="Times New Roman" w:cs="Times New Roman"/>
          <w:lang w:val="en-US"/>
        </w:rPr>
        <w:t>1 and B2. The difference points to the fact that heat load depends on beam screen</w:t>
      </w:r>
      <w:r>
        <w:rPr>
          <w:rFonts w:ascii="Times New Roman" w:hAnsi="Times New Roman" w:cs="Times New Roman"/>
          <w:lang w:val="en-US"/>
        </w:rPr>
        <w:t>.</w:t>
      </w:r>
    </w:p>
    <w:p w14:paraId="55176CA5" w14:textId="77777777" w:rsidR="0002329D" w:rsidRDefault="0002329D">
      <w:pPr>
        <w:jc w:val="both"/>
        <w:rPr>
          <w:rFonts w:ascii="Times New Roman" w:hAnsi="Times New Roman" w:cs="Times New Roman"/>
          <w:lang w:val="en-US"/>
        </w:rPr>
      </w:pPr>
    </w:p>
    <w:p w14:paraId="7EAFE79B"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MD3263 </w:t>
      </w:r>
      <w:r>
        <w:rPr>
          <w:rFonts w:ascii="Times New Roman" w:hAnsi="Times New Roman" w:cs="Times New Roman"/>
          <w:b/>
          <w:lang w:val="en-US"/>
        </w:rPr>
        <w:t xml:space="preserve">beam loss or emittance growth from MO settings </w:t>
      </w:r>
      <w:r>
        <w:rPr>
          <w:rFonts w:ascii="Times New Roman" w:hAnsi="Times New Roman" w:cs="Times New Roman"/>
          <w:b/>
          <w:lang w:val="en-US"/>
        </w:rPr>
        <w:t>(E. Maclean)</w:t>
      </w:r>
    </w:p>
    <w:p w14:paraId="3D551434" w14:textId="3BCA6F5B" w:rsidR="0002329D" w:rsidRDefault="00054E92">
      <w:pPr>
        <w:jc w:val="both"/>
      </w:pPr>
      <w:r>
        <w:rPr>
          <w:rFonts w:ascii="Times New Roman" w:hAnsi="Times New Roman" w:cs="Times New Roman"/>
          <w:lang w:val="en-US"/>
        </w:rPr>
        <w:t>The MD aimed at checking whether blow-up observed in the LHC ramp could be related to s</w:t>
      </w:r>
      <w:r>
        <w:rPr>
          <w:rFonts w:ascii="Times New Roman" w:hAnsi="Times New Roman" w:cs="Times New Roman"/>
          <w:lang w:val="en-US"/>
        </w:rPr>
        <w:t xml:space="preserve">table islands, with particles that move out, </w:t>
      </w:r>
      <w:r>
        <w:rPr>
          <w:rFonts w:ascii="Times New Roman" w:hAnsi="Times New Roman" w:cs="Times New Roman"/>
          <w:lang w:val="en-US"/>
        </w:rPr>
        <w:t>as octupole strength varies during the ramp</w:t>
      </w:r>
      <w:r>
        <w:rPr>
          <w:rFonts w:ascii="Times New Roman" w:hAnsi="Times New Roman" w:cs="Times New Roman"/>
          <w:lang w:val="en-US"/>
        </w:rPr>
        <w:t>. The MD was carried out at injection trimming the octupoles on the ramp time scale. Some influence of MO ramp-down on emittance growth wa</w:t>
      </w:r>
      <w:r>
        <w:rPr>
          <w:rFonts w:ascii="Times New Roman" w:hAnsi="Times New Roman" w:cs="Times New Roman"/>
          <w:lang w:val="en-US"/>
        </w:rPr>
        <w:t>s observed,</w:t>
      </w:r>
      <w:r>
        <w:rPr>
          <w:rFonts w:ascii="Times New Roman" w:hAnsi="Times New Roman" w:cs="Times New Roman"/>
          <w:lang w:val="en-US"/>
        </w:rPr>
        <w:t xml:space="preserve"> specially with chromaticity of 15 units,</w:t>
      </w:r>
      <w:r>
        <w:rPr>
          <w:rFonts w:ascii="Times New Roman" w:hAnsi="Times New Roman" w:cs="Times New Roman"/>
          <w:lang w:val="en-US"/>
        </w:rPr>
        <w:t xml:space="preserve"> but a more detailed analysis is needed</w:t>
      </w:r>
      <w:r>
        <w:rPr>
          <w:rFonts w:ascii="Times New Roman" w:hAnsi="Times New Roman" w:cs="Times New Roman"/>
          <w:lang w:val="en-US"/>
        </w:rPr>
        <w:t>, specially to diagnose if the mechanism involves the formation of islands or it is a different one</w:t>
      </w:r>
      <w:r>
        <w:rPr>
          <w:rFonts w:ascii="Times New Roman" w:hAnsi="Times New Roman" w:cs="Times New Roman"/>
          <w:lang w:val="en-US"/>
        </w:rPr>
        <w:t>.</w:t>
      </w:r>
    </w:p>
    <w:p w14:paraId="03F4E224" w14:textId="77777777" w:rsidR="0002329D" w:rsidRDefault="0002329D">
      <w:pPr>
        <w:jc w:val="both"/>
        <w:rPr>
          <w:rFonts w:ascii="Times New Roman" w:hAnsi="Times New Roman" w:cs="Times New Roman"/>
          <w:lang w:val="en-US"/>
        </w:rPr>
      </w:pPr>
    </w:p>
    <w:p w14:paraId="64942AFC"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MD3312 </w:t>
      </w:r>
      <w:r>
        <w:rPr>
          <w:rFonts w:ascii="Times New Roman" w:hAnsi="Times New Roman" w:cs="Times New Roman"/>
          <w:b/>
          <w:lang w:val="en-US"/>
        </w:rPr>
        <w:t xml:space="preserve">Replicating the LH-LHC DA </w:t>
      </w:r>
      <w:r>
        <w:rPr>
          <w:rFonts w:ascii="Times New Roman" w:hAnsi="Times New Roman" w:cs="Times New Roman"/>
          <w:b/>
          <w:lang w:val="en-US"/>
        </w:rPr>
        <w:t>(E. Maclean)</w:t>
      </w:r>
    </w:p>
    <w:p w14:paraId="2341F052" w14:textId="64E4E90B" w:rsidR="0002329D" w:rsidRDefault="00054E92">
      <w:pPr>
        <w:jc w:val="both"/>
      </w:pPr>
      <w:r>
        <w:rPr>
          <w:rFonts w:ascii="Times New Roman" w:hAnsi="Times New Roman" w:cs="Times New Roman"/>
          <w:lang w:val="en-US"/>
        </w:rPr>
        <w:t>The MD was carrie</w:t>
      </w:r>
      <w:r>
        <w:rPr>
          <w:rFonts w:ascii="Times New Roman" w:hAnsi="Times New Roman" w:cs="Times New Roman"/>
          <w:lang w:val="en-US"/>
        </w:rPr>
        <w:t xml:space="preserve">d out on flat optics cycle. The first part was dedicated to try to explain the 5% beta beating difference in optics measurements observed in MD#4 wrt MD#2. Tune corrections done with the QFB (thus </w:t>
      </w:r>
      <w:r>
        <w:rPr>
          <w:rFonts w:ascii="Times New Roman" w:hAnsi="Times New Roman" w:cs="Times New Roman"/>
          <w:lang w:val="en-US"/>
        </w:rPr>
        <w:t>distributed</w:t>
      </w:r>
      <w:r>
        <w:rPr>
          <w:rFonts w:ascii="Times New Roman" w:hAnsi="Times New Roman" w:cs="Times New Roman"/>
          <w:lang w:val="en-US"/>
        </w:rPr>
        <w:t xml:space="preserve"> over all arcs </w:t>
      </w:r>
      <w:r>
        <w:rPr>
          <w:rFonts w:ascii="Times New Roman" w:hAnsi="Times New Roman" w:cs="Times New Roman"/>
          <w:lang w:val="en-US"/>
        </w:rPr>
        <w:t xml:space="preserve">including </w:t>
      </w:r>
      <w:r>
        <w:rPr>
          <w:rFonts w:ascii="Times New Roman" w:hAnsi="Times New Roman" w:cs="Times New Roman"/>
          <w:lang w:val="en-US"/>
        </w:rPr>
        <w:t xml:space="preserve"> the ATS sectors) were identified, explaining the observed variation. Beta* was also re-measured</w:t>
      </w:r>
      <w:r>
        <w:rPr>
          <w:rFonts w:ascii="Times New Roman" w:hAnsi="Times New Roman" w:cs="Times New Roman"/>
          <w:lang w:val="en-US"/>
        </w:rPr>
        <w:t xml:space="preserve"> after new </w:t>
      </w:r>
      <w:r>
        <w:rPr>
          <w:rFonts w:ascii="Times New Roman" w:hAnsi="Times New Roman" w:cs="Times New Roman"/>
          <w:lang w:val="en-US"/>
        </w:rPr>
        <w:lastRenderedPageBreak/>
        <w:t>corrections</w:t>
      </w:r>
      <w:r>
        <w:rPr>
          <w:rFonts w:ascii="Times New Roman" w:hAnsi="Times New Roman" w:cs="Times New Roman"/>
          <w:lang w:val="en-US"/>
        </w:rPr>
        <w:t>, obtaining a value of 17 cm (against the theoretical 15 cm</w:t>
      </w:r>
      <w:r>
        <w:rPr>
          <w:rFonts w:ascii="Times New Roman" w:hAnsi="Times New Roman" w:cs="Times New Roman"/>
          <w:lang w:val="en-US"/>
        </w:rPr>
        <w:t xml:space="preserve"> and a previous value before correction of 18cm</w:t>
      </w:r>
      <w:r>
        <w:rPr>
          <w:rFonts w:ascii="Times New Roman" w:hAnsi="Times New Roman" w:cs="Times New Roman"/>
          <w:lang w:val="en-US"/>
        </w:rPr>
        <w:t xml:space="preserve">). The second half </w:t>
      </w:r>
      <w:r>
        <w:rPr>
          <w:rFonts w:ascii="Times New Roman" w:hAnsi="Times New Roman" w:cs="Times New Roman"/>
          <w:lang w:val="en-US"/>
        </w:rPr>
        <w:t xml:space="preserve">of the </w:t>
      </w:r>
      <w:r>
        <w:rPr>
          <w:rFonts w:ascii="Times New Roman" w:hAnsi="Times New Roman" w:cs="Times New Roman"/>
          <w:lang w:val="en-US"/>
        </w:rPr>
        <w:t>MD aim</w:t>
      </w:r>
      <w:r>
        <w:rPr>
          <w:rFonts w:ascii="Times New Roman" w:hAnsi="Times New Roman" w:cs="Times New Roman"/>
          <w:lang w:val="en-US"/>
        </w:rPr>
        <w:t>ed at replicating the HL-LHC DA, by artificially introducing non-linear errors.</w:t>
      </w:r>
      <w:r>
        <w:rPr>
          <w:rFonts w:ascii="Times New Roman" w:hAnsi="Times New Roman" w:cs="Times New Roman"/>
          <w:lang w:val="en-US"/>
        </w:rPr>
        <w:t xml:space="preserve"> </w:t>
      </w:r>
      <w:r>
        <w:rPr>
          <w:rFonts w:ascii="Times New Roman" w:hAnsi="Times New Roman" w:cs="Times New Roman"/>
          <w:lang w:val="en-US"/>
        </w:rPr>
        <w:t>Severe challenges even to excite the AC dipole for normal optics measurements were identified.</w:t>
      </w:r>
      <w:r>
        <w:rPr>
          <w:rFonts w:ascii="Times New Roman" w:hAnsi="Times New Roman" w:cs="Times New Roman"/>
          <w:lang w:val="en-US"/>
        </w:rPr>
        <w:t xml:space="preserve"> </w:t>
      </w:r>
      <w:r>
        <w:rPr>
          <w:rFonts w:ascii="Times New Roman" w:hAnsi="Times New Roman" w:cs="Times New Roman"/>
          <w:lang w:val="en-US"/>
        </w:rPr>
        <w:t>A partial mitigation of moving the tunes to avoid resonances was identified exper</w:t>
      </w:r>
      <w:r>
        <w:rPr>
          <w:rFonts w:ascii="Times New Roman" w:hAnsi="Times New Roman" w:cs="Times New Roman"/>
          <w:lang w:val="en-US"/>
        </w:rPr>
        <w:t>imentally.</w:t>
      </w:r>
    </w:p>
    <w:p w14:paraId="33AD4D69" w14:textId="3CCD27AF" w:rsidR="0002329D" w:rsidRDefault="0002329D">
      <w:pPr>
        <w:jc w:val="both"/>
        <w:rPr>
          <w:rFonts w:ascii="Times New Roman" w:hAnsi="Times New Roman" w:cs="Times New Roman"/>
          <w:lang w:val="en-US"/>
        </w:rPr>
      </w:pPr>
    </w:p>
    <w:p w14:paraId="1A7F83E6" w14:textId="77777777" w:rsidR="0002329D" w:rsidRDefault="00054E92">
      <w:pPr>
        <w:jc w:val="both"/>
        <w:rPr>
          <w:rFonts w:ascii="Times New Roman" w:hAnsi="Times New Roman" w:cs="Times New Roman"/>
          <w:lang w:val="en-US"/>
        </w:rPr>
      </w:pPr>
      <w:r>
        <w:rPr>
          <w:rFonts w:ascii="Times New Roman" w:hAnsi="Times New Roman" w:cs="Times New Roman"/>
          <w:u w:val="single"/>
          <w:lang w:val="en-US"/>
        </w:rPr>
        <w:t>S. Fartoukh</w:t>
      </w:r>
      <w:r>
        <w:rPr>
          <w:rFonts w:ascii="Times New Roman" w:hAnsi="Times New Roman" w:cs="Times New Roman"/>
          <w:lang w:val="en-US"/>
        </w:rPr>
        <w:t xml:space="preserve"> commented that the collinearity knobs could the reason we do not measure a beta* of 15 cm.</w:t>
      </w:r>
    </w:p>
    <w:p w14:paraId="28F3BE5C" w14:textId="77777777" w:rsidR="0002329D" w:rsidRDefault="0002329D">
      <w:pPr>
        <w:jc w:val="both"/>
        <w:rPr>
          <w:rFonts w:ascii="Times New Roman" w:hAnsi="Times New Roman" w:cs="Times New Roman"/>
          <w:lang w:val="en-US"/>
        </w:rPr>
      </w:pPr>
    </w:p>
    <w:p w14:paraId="29DAA4EB" w14:textId="77777777" w:rsidR="0002329D" w:rsidRDefault="0002329D">
      <w:pPr>
        <w:jc w:val="both"/>
        <w:rPr>
          <w:rFonts w:ascii="Times New Roman" w:hAnsi="Times New Roman" w:cs="Times New Roman"/>
          <w:lang w:val="en-US"/>
        </w:rPr>
      </w:pPr>
    </w:p>
    <w:p w14:paraId="43F58883"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MD3349 </w:t>
      </w:r>
      <w:r>
        <w:rPr>
          <w:rFonts w:ascii="Times New Roman" w:hAnsi="Times New Roman" w:cs="Times New Roman"/>
          <w:b/>
          <w:lang w:val="en-US"/>
        </w:rPr>
        <w:t xml:space="preserve">start collisions at 1 m beta* </w:t>
      </w:r>
      <w:r>
        <w:rPr>
          <w:rFonts w:ascii="Times New Roman" w:hAnsi="Times New Roman" w:cs="Times New Roman"/>
          <w:b/>
          <w:lang w:val="en-US"/>
        </w:rPr>
        <w:t>(A. Calia)</w:t>
      </w:r>
    </w:p>
    <w:p w14:paraId="3D82EBD2" w14:textId="77777777" w:rsidR="0002329D" w:rsidRDefault="00054E92">
      <w:pPr>
        <w:rPr>
          <w:rFonts w:ascii="Times New Roman" w:hAnsi="Times New Roman" w:cs="Times New Roman"/>
          <w:b/>
          <w:lang w:val="en-US"/>
        </w:rPr>
      </w:pPr>
      <w:r>
        <w:rPr>
          <w:rFonts w:ascii="Times New Roman" w:hAnsi="Times New Roman" w:cs="Times New Roman"/>
          <w:lang w:val="en-US"/>
        </w:rPr>
        <w:t>Mechanics of col</w:t>
      </w:r>
      <w:r>
        <w:rPr>
          <w:rFonts w:ascii="Times New Roman" w:hAnsi="Times New Roman" w:cs="Times New Roman"/>
          <w:lang w:val="en-US"/>
        </w:rPr>
        <w:t xml:space="preserve">lide and squeeze demonstrated. Collisions were set at 1 m, then squeeze was performed to 30 cm moving collimators and observing orbit excursions. Collisions optimized at every step then incorporated. The second attempt showed full reproducibility. Despite </w:t>
      </w:r>
      <w:r>
        <w:rPr>
          <w:rFonts w:ascii="Times New Roman" w:hAnsi="Times New Roman" w:cs="Times New Roman"/>
          <w:lang w:val="en-US"/>
        </w:rPr>
        <w:t>some minor improvements the MD was a great success.</w:t>
      </w:r>
    </w:p>
    <w:p w14:paraId="629DB626" w14:textId="77777777" w:rsidR="0002329D" w:rsidRDefault="0002329D">
      <w:pPr>
        <w:jc w:val="both"/>
        <w:rPr>
          <w:rFonts w:ascii="Times New Roman" w:hAnsi="Times New Roman" w:cs="Times New Roman"/>
          <w:lang w:val="en-US"/>
        </w:rPr>
      </w:pPr>
    </w:p>
    <w:p w14:paraId="5761A7FF"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MD3327 &amp; MD4167 </w:t>
      </w:r>
      <w:r>
        <w:rPr>
          <w:rFonts w:ascii="Times New Roman" w:hAnsi="Times New Roman" w:cs="Times New Roman"/>
          <w:b/>
          <w:lang w:val="en-US"/>
        </w:rPr>
        <w:t xml:space="preserve">Crystal collimation with protons </w:t>
      </w:r>
      <w:r>
        <w:rPr>
          <w:rFonts w:ascii="Times New Roman" w:hAnsi="Times New Roman" w:cs="Times New Roman"/>
          <w:b/>
          <w:lang w:val="en-US"/>
        </w:rPr>
        <w:t>(M. D'Andrea)</w:t>
      </w:r>
    </w:p>
    <w:p w14:paraId="5876B375" w14:textId="77777777" w:rsidR="0002329D" w:rsidRDefault="00054E92">
      <w:pPr>
        <w:jc w:val="both"/>
        <w:rPr>
          <w:rFonts w:ascii="Times New Roman" w:hAnsi="Times New Roman" w:cs="Times New Roman"/>
          <w:lang w:val="en-US"/>
        </w:rPr>
      </w:pPr>
      <w:r>
        <w:rPr>
          <w:rFonts w:ascii="Times New Roman" w:hAnsi="Times New Roman" w:cs="Times New Roman"/>
          <w:lang w:val="en-US"/>
        </w:rPr>
        <w:t xml:space="preserve">Two MDs were performed on crystal collimation with p.  the first one was dedicated to angular and linear scans and loss maps. During the </w:t>
      </w:r>
      <w:r>
        <w:rPr>
          <w:rFonts w:ascii="Times New Roman" w:hAnsi="Times New Roman" w:cs="Times New Roman"/>
          <w:lang w:val="en-US"/>
        </w:rPr>
        <w:t>second MD the first ramp with all four crystals was also performed. Loss maps were done with crystals as primaries and different TCLA settings. Results seem promising, but some deeper analysis is needed.</w:t>
      </w:r>
    </w:p>
    <w:p w14:paraId="5CCF76D4" w14:textId="77777777" w:rsidR="0002329D" w:rsidRDefault="00054E92">
      <w:pPr>
        <w:jc w:val="both"/>
        <w:rPr>
          <w:rFonts w:ascii="Times New Roman" w:hAnsi="Times New Roman" w:cs="Times New Roman"/>
          <w:lang w:val="en-US"/>
        </w:rPr>
      </w:pPr>
      <w:r>
        <w:rPr>
          <w:rFonts w:ascii="Times New Roman" w:hAnsi="Times New Roman" w:cs="Times New Roman"/>
          <w:lang w:val="en-US"/>
        </w:rPr>
        <w:t>Channeling during the ramp (angular and linear posit</w:t>
      </w:r>
      <w:r>
        <w:rPr>
          <w:rFonts w:ascii="Times New Roman" w:hAnsi="Times New Roman" w:cs="Times New Roman"/>
          <w:lang w:val="en-US"/>
        </w:rPr>
        <w:t>ion functions) was kept until the trip of a corrector that happened slightly above 3 TeV.</w:t>
      </w:r>
    </w:p>
    <w:p w14:paraId="1E0E8F5D" w14:textId="77777777" w:rsidR="0002329D" w:rsidRDefault="0002329D">
      <w:pPr>
        <w:jc w:val="both"/>
        <w:rPr>
          <w:rFonts w:ascii="Times New Roman" w:hAnsi="Times New Roman" w:cs="Times New Roman"/>
          <w:lang w:val="en-US"/>
        </w:rPr>
      </w:pPr>
    </w:p>
    <w:p w14:paraId="2F9EAF4A" w14:textId="77777777" w:rsidR="0002329D" w:rsidRDefault="00054E92">
      <w:pPr>
        <w:rPr>
          <w:rFonts w:ascii="Times New Roman" w:hAnsi="Times New Roman" w:cs="Times New Roman"/>
          <w:b/>
          <w:lang w:val="en-US"/>
        </w:rPr>
      </w:pPr>
      <w:r>
        <w:rPr>
          <w:rFonts w:ascii="Times New Roman" w:hAnsi="Times New Roman" w:cs="Times New Roman"/>
          <w:b/>
          <w:lang w:val="en-US"/>
        </w:rPr>
        <w:t xml:space="preserve">MD3328 </w:t>
      </w:r>
      <w:r>
        <w:rPr>
          <w:rFonts w:ascii="Times New Roman" w:hAnsi="Times New Roman" w:cs="Times New Roman"/>
          <w:b/>
          <w:lang w:val="en-US"/>
        </w:rPr>
        <w:t xml:space="preserve">Injection with collimators at 3 sigma </w:t>
      </w:r>
      <w:r>
        <w:rPr>
          <w:rFonts w:ascii="Times New Roman" w:hAnsi="Times New Roman" w:cs="Times New Roman"/>
          <w:b/>
          <w:lang w:val="en-US"/>
        </w:rPr>
        <w:t>(M. Crouch)</w:t>
      </w:r>
    </w:p>
    <w:p w14:paraId="75B76ED0" w14:textId="2CAC0B7D" w:rsidR="0002329D" w:rsidRDefault="00054E92">
      <w:pPr>
        <w:jc w:val="both"/>
      </w:pPr>
      <w:r>
        <w:rPr>
          <w:rFonts w:ascii="Times New Roman" w:hAnsi="Times New Roman" w:cs="Times New Roman"/>
          <w:lang w:val="en-US"/>
        </w:rPr>
        <w:t>The MD aimed at probing the tighter aperture foreseen for FCC and HE-LHC, by reducing the collimator gaps fr</w:t>
      </w:r>
      <w:r>
        <w:rPr>
          <w:rFonts w:ascii="Times New Roman" w:hAnsi="Times New Roman" w:cs="Times New Roman"/>
          <w:lang w:val="en-US"/>
        </w:rPr>
        <w:t xml:space="preserve">om nominal settings down to 3 sigma in the TCP and TCDI in steps. A second part was foreseen when applying an orbit bump across IR7 to investigate the cold losses downstream of the betatron cleaning section, but </w:t>
      </w:r>
      <w:r>
        <w:rPr>
          <w:rFonts w:ascii="Times New Roman" w:hAnsi="Times New Roman" w:cs="Times New Roman"/>
          <w:lang w:val="en-US"/>
        </w:rPr>
        <w:t xml:space="preserve">it </w:t>
      </w:r>
      <w:r>
        <w:rPr>
          <w:rFonts w:ascii="Times New Roman" w:hAnsi="Times New Roman" w:cs="Times New Roman"/>
          <w:lang w:val="en-US"/>
        </w:rPr>
        <w:t>was not performed due to lack of time (in</w:t>
      </w:r>
      <w:r>
        <w:rPr>
          <w:rFonts w:ascii="Times New Roman" w:hAnsi="Times New Roman" w:cs="Times New Roman"/>
          <w:lang w:val="en-US"/>
        </w:rPr>
        <w:t>jector availability issue). Measurements were done on b2 while another MD was carried out in parallel. Results show that operating with TCDI at 4.5 sigma is challenging but possible whereas HW modifications are needed for tighter conditions. The limit on t</w:t>
      </w:r>
      <w:r>
        <w:rPr>
          <w:rFonts w:ascii="Times New Roman" w:hAnsi="Times New Roman" w:cs="Times New Roman"/>
          <w:lang w:val="en-US"/>
        </w:rPr>
        <w:t xml:space="preserve">he TCP mostly depends on how well we can control the satellites, but preliminary </w:t>
      </w:r>
      <w:r>
        <w:rPr>
          <w:rFonts w:ascii="Times New Roman" w:hAnsi="Times New Roman" w:cs="Times New Roman"/>
          <w:lang w:val="en-US"/>
        </w:rPr>
        <w:t xml:space="preserve">observations </w:t>
      </w:r>
      <w:r>
        <w:rPr>
          <w:rFonts w:ascii="Times New Roman" w:hAnsi="Times New Roman" w:cs="Times New Roman"/>
          <w:lang w:val="en-US"/>
        </w:rPr>
        <w:t>indicat</w:t>
      </w:r>
      <w:r>
        <w:rPr>
          <w:rFonts w:ascii="Times New Roman" w:hAnsi="Times New Roman" w:cs="Times New Roman"/>
          <w:lang w:val="en-US"/>
        </w:rPr>
        <w:t>e</w:t>
      </w:r>
      <w:r>
        <w:rPr>
          <w:rFonts w:ascii="Times New Roman" w:hAnsi="Times New Roman" w:cs="Times New Roman"/>
          <w:lang w:val="en-US"/>
        </w:rPr>
        <w:t xml:space="preserve"> </w:t>
      </w:r>
      <w:r>
        <w:rPr>
          <w:rFonts w:ascii="Times New Roman" w:hAnsi="Times New Roman" w:cs="Times New Roman"/>
          <w:lang w:val="en-US"/>
        </w:rPr>
        <w:t xml:space="preserve"> that </w:t>
      </w:r>
      <w:r>
        <w:rPr>
          <w:rFonts w:ascii="Times New Roman" w:hAnsi="Times New Roman" w:cs="Times New Roman"/>
          <w:lang w:val="en-US"/>
        </w:rPr>
        <w:t xml:space="preserve">a primary collimator cut at </w:t>
      </w:r>
      <w:r>
        <w:rPr>
          <w:rFonts w:ascii="Times New Roman" w:hAnsi="Times New Roman" w:cs="Times New Roman"/>
          <w:lang w:val="en-US"/>
        </w:rPr>
        <w:t xml:space="preserve">5 </w:t>
      </w:r>
      <w:r>
        <w:rPr>
          <w:rFonts w:ascii="Times New Roman" w:hAnsi="Times New Roman" w:cs="Times New Roman"/>
          <w:lang w:val="en-US"/>
        </w:rPr>
        <w:t xml:space="preserve">beam </w:t>
      </w:r>
      <w:r>
        <w:rPr>
          <w:rFonts w:ascii="Times New Roman" w:hAnsi="Times New Roman" w:cs="Times New Roman"/>
          <w:lang w:val="en-US"/>
        </w:rPr>
        <w:t xml:space="preserve">sigma is </w:t>
      </w:r>
      <w:r>
        <w:rPr>
          <w:rFonts w:ascii="Times New Roman" w:hAnsi="Times New Roman" w:cs="Times New Roman"/>
          <w:lang w:val="en-US"/>
        </w:rPr>
        <w:t xml:space="preserve">within reach. </w:t>
      </w:r>
    </w:p>
    <w:sectPr w:rsidR="0002329D">
      <w:pgSz w:w="11906" w:h="16838"/>
      <w:pgMar w:top="1440" w:right="1440" w:bottom="1440" w:left="1440"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altName w:val="Cambria"/>
    <w:panose1 w:val="020B0604020202020204"/>
    <w:charset w:val="01"/>
    <w:family w:val="roman"/>
    <w:pitch w:val="variable"/>
  </w:font>
  <w:font w:name="Liberation Sans">
    <w:altName w:val="Arial"/>
    <w:panose1 w:val="020B0604020202020204"/>
    <w:charset w:val="01"/>
    <w:family w:val="swiss"/>
    <w:pitch w:val="variable"/>
  </w:font>
  <w:font w:name="Noto Sans CJK SC Regular">
    <w:panose1 w:val="020B0604020202020204"/>
    <w:charset w:val="00"/>
    <w:family w:val="roman"/>
    <w:notTrueType/>
    <w:pitch w:val="default"/>
  </w:font>
  <w:font w:name="FreeSans">
    <w:altName w:val="Cambria"/>
    <w:panose1 w:val="020B06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329D"/>
    <w:rsid w:val="0002329D"/>
    <w:rsid w:val="00054E92"/>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747426B4"/>
  <w15:docId w15:val="{C7538E11-A455-344A-97C6-4DD195906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75D6"/>
    <w:pPr>
      <w:keepNext/>
      <w:keepLines/>
      <w:suppressAutoHyphens/>
      <w:spacing w:before="480"/>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0375D6"/>
    <w:rPr>
      <w:rFonts w:asciiTheme="majorHAnsi" w:eastAsiaTheme="majorEastAsia" w:hAnsiTheme="majorHAnsi" w:cstheme="majorBidi"/>
      <w:b/>
      <w:bCs/>
      <w:color w:val="2D4F8E" w:themeColor="accent1" w:themeShade="B5"/>
      <w:sz w:val="32"/>
      <w:szCs w:val="32"/>
      <w:lang w:val="en-US"/>
    </w:rPr>
  </w:style>
  <w:style w:type="character" w:customStyle="1" w:styleId="InternetLink">
    <w:name w:val="Internet Link"/>
    <w:basedOn w:val="DefaultParagraphFont"/>
    <w:uiPriority w:val="99"/>
    <w:unhideWhenUsed/>
    <w:rsid w:val="000375D6"/>
    <w:rPr>
      <w:color w:val="0563C1" w:themeColor="hyperlink"/>
      <w:u w:val="single"/>
    </w:rPr>
  </w:style>
  <w:style w:type="character" w:customStyle="1" w:styleId="UnresolvedMention1">
    <w:name w:val="Unresolved Mention1"/>
    <w:basedOn w:val="DefaultParagraphFont"/>
    <w:uiPriority w:val="99"/>
    <w:qFormat/>
    <w:rsid w:val="000375D6"/>
    <w:rPr>
      <w:color w:val="605E5C"/>
      <w:shd w:val="clear" w:color="auto" w:fill="E1DFDD"/>
    </w:rPr>
  </w:style>
  <w:style w:type="character" w:customStyle="1" w:styleId="BalloonTextChar">
    <w:name w:val="Balloon Text Char"/>
    <w:basedOn w:val="DefaultParagraphFont"/>
    <w:link w:val="BalloonText"/>
    <w:uiPriority w:val="99"/>
    <w:semiHidden/>
    <w:qFormat/>
    <w:rsid w:val="00A63C15"/>
    <w:rPr>
      <w:rFonts w:ascii="Segoe UI" w:hAnsi="Segoe UI" w:cs="Segoe UI"/>
      <w:sz w:val="18"/>
      <w:szCs w:val="18"/>
    </w:rPr>
  </w:style>
  <w:style w:type="character" w:customStyle="1" w:styleId="ListLabel1">
    <w:name w:val="ListLabel 1"/>
    <w:qFormat/>
    <w:rPr>
      <w:sz w:val="20"/>
    </w:rPr>
  </w:style>
  <w:style w:type="character" w:customStyle="1" w:styleId="ListLabel2">
    <w:name w:val="ListLabel 2"/>
    <w:qFormat/>
    <w:rPr>
      <w:sz w:val="20"/>
    </w:rPr>
  </w:style>
  <w:style w:type="character" w:customStyle="1" w:styleId="ListLabel3">
    <w:name w:val="ListLabel 3"/>
    <w:qFormat/>
    <w:rPr>
      <w:sz w:val="20"/>
    </w:rPr>
  </w:style>
  <w:style w:type="character" w:customStyle="1" w:styleId="ListLabel4">
    <w:name w:val="ListLabel 4"/>
    <w:qFormat/>
    <w:rPr>
      <w:sz w:val="20"/>
    </w:rPr>
  </w:style>
  <w:style w:type="character" w:customStyle="1" w:styleId="ListLabel5">
    <w:name w:val="ListLabel 5"/>
    <w:qFormat/>
    <w:rPr>
      <w:sz w:val="20"/>
    </w:rPr>
  </w:style>
  <w:style w:type="character" w:customStyle="1" w:styleId="ListLabel6">
    <w:name w:val="ListLabel 6"/>
    <w:qFormat/>
    <w:rPr>
      <w:sz w:val="20"/>
    </w:rPr>
  </w:style>
  <w:style w:type="character" w:customStyle="1" w:styleId="ListLabel7">
    <w:name w:val="ListLabel 7"/>
    <w:qFormat/>
    <w:rPr>
      <w:sz w:val="20"/>
    </w:rPr>
  </w:style>
  <w:style w:type="character" w:customStyle="1" w:styleId="ListLabel8">
    <w:name w:val="ListLabel 8"/>
    <w:qFormat/>
    <w:rPr>
      <w:sz w:val="20"/>
    </w:rPr>
  </w:style>
  <w:style w:type="character" w:customStyle="1" w:styleId="ListLabel9">
    <w:name w:val="ListLabel 9"/>
    <w:qFormat/>
    <w:rPr>
      <w:sz w:val="20"/>
    </w:rPr>
  </w:style>
  <w:style w:type="character" w:customStyle="1" w:styleId="ListLabel10">
    <w:name w:val="ListLabel 10"/>
    <w:qFormat/>
    <w:rPr>
      <w:sz w:val="20"/>
    </w:rPr>
  </w:style>
  <w:style w:type="character" w:customStyle="1" w:styleId="ListLabel11">
    <w:name w:val="ListLabel 11"/>
    <w:qFormat/>
    <w:rPr>
      <w:sz w:val="20"/>
    </w:rPr>
  </w:style>
  <w:style w:type="character" w:customStyle="1" w:styleId="ListLabel12">
    <w:name w:val="ListLabel 12"/>
    <w:qFormat/>
    <w:rPr>
      <w:sz w:val="20"/>
    </w:rPr>
  </w:style>
  <w:style w:type="character" w:customStyle="1" w:styleId="ListLabel13">
    <w:name w:val="ListLabel 13"/>
    <w:qFormat/>
    <w:rPr>
      <w:sz w:val="20"/>
    </w:rPr>
  </w:style>
  <w:style w:type="character" w:customStyle="1" w:styleId="ListLabel14">
    <w:name w:val="ListLabel 14"/>
    <w:qFormat/>
    <w:rPr>
      <w:sz w:val="20"/>
    </w:rPr>
  </w:style>
  <w:style w:type="character" w:customStyle="1" w:styleId="ListLabel15">
    <w:name w:val="ListLabel 15"/>
    <w:qFormat/>
    <w:rPr>
      <w:sz w:val="20"/>
    </w:rPr>
  </w:style>
  <w:style w:type="character" w:customStyle="1" w:styleId="ListLabel16">
    <w:name w:val="ListLabel 16"/>
    <w:qFormat/>
    <w:rPr>
      <w:sz w:val="20"/>
    </w:rPr>
  </w:style>
  <w:style w:type="character" w:customStyle="1" w:styleId="ListLabel17">
    <w:name w:val="ListLabel 17"/>
    <w:qFormat/>
    <w:rPr>
      <w:sz w:val="20"/>
    </w:rPr>
  </w:style>
  <w:style w:type="character" w:customStyle="1" w:styleId="ListLabel18">
    <w:name w:val="ListLabel 18"/>
    <w:qFormat/>
    <w:rPr>
      <w:sz w:val="20"/>
    </w:rPr>
  </w:style>
  <w:style w:type="character" w:customStyle="1" w:styleId="ListLabel19">
    <w:name w:val="ListLabel 19"/>
    <w:qFormat/>
    <w:rPr>
      <w:sz w:val="20"/>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style>
  <w:style w:type="paragraph" w:customStyle="1" w:styleId="Heading">
    <w:name w:val="Heading"/>
    <w:basedOn w:val="Normal"/>
    <w:next w:val="BodyText"/>
    <w:qFormat/>
    <w:pPr>
      <w:keepNext/>
      <w:spacing w:before="240" w:after="120"/>
    </w:pPr>
    <w:rPr>
      <w:rFonts w:ascii="Liberation Sans" w:eastAsia="Noto Sans CJK SC Regular" w:hAnsi="Liberation Sans" w:cs="FreeSans"/>
      <w:sz w:val="28"/>
      <w:szCs w:val="28"/>
    </w:rPr>
  </w:style>
  <w:style w:type="paragraph" w:styleId="BodyText">
    <w:name w:val="Body Text"/>
    <w:basedOn w:val="Normal"/>
    <w:pPr>
      <w:spacing w:after="140" w:line="276" w:lineRule="auto"/>
    </w:pPr>
  </w:style>
  <w:style w:type="paragraph" w:styleId="List">
    <w:name w:val="List"/>
    <w:basedOn w:val="BodyText"/>
    <w:rPr>
      <w:rFonts w:cs="FreeSans"/>
    </w:rPr>
  </w:style>
  <w:style w:type="paragraph" w:styleId="Caption">
    <w:name w:val="caption"/>
    <w:basedOn w:val="Normal"/>
    <w:qFormat/>
    <w:pPr>
      <w:suppressLineNumbers/>
      <w:spacing w:before="120" w:after="120"/>
    </w:pPr>
    <w:rPr>
      <w:rFonts w:cs="FreeSans"/>
      <w:i/>
      <w:iCs/>
    </w:rPr>
  </w:style>
  <w:style w:type="paragraph" w:customStyle="1" w:styleId="Index">
    <w:name w:val="Index"/>
    <w:basedOn w:val="Normal"/>
    <w:qFormat/>
    <w:pPr>
      <w:suppressLineNumbers/>
    </w:pPr>
    <w:rPr>
      <w:rFonts w:cs="FreeSans"/>
    </w:rPr>
  </w:style>
  <w:style w:type="paragraph" w:styleId="NoSpacing">
    <w:name w:val="No Spacing"/>
    <w:qFormat/>
    <w:rsid w:val="000375D6"/>
    <w:pPr>
      <w:suppressAutoHyphens/>
    </w:pPr>
    <w:rPr>
      <w:rFonts w:ascii="Calibri" w:eastAsiaTheme="minorEastAsia" w:hAnsi="Calibri"/>
      <w:color w:val="00000A"/>
      <w:lang w:val="en-US"/>
    </w:rPr>
  </w:style>
  <w:style w:type="paragraph" w:styleId="ListParagraph">
    <w:name w:val="List Paragraph"/>
    <w:basedOn w:val="Normal"/>
    <w:uiPriority w:val="34"/>
    <w:qFormat/>
    <w:rsid w:val="004C20B2"/>
    <w:pPr>
      <w:ind w:left="720"/>
      <w:contextualSpacing/>
    </w:pPr>
  </w:style>
  <w:style w:type="paragraph" w:styleId="NormalWeb">
    <w:name w:val="Normal (Web)"/>
    <w:basedOn w:val="Normal"/>
    <w:uiPriority w:val="99"/>
    <w:unhideWhenUsed/>
    <w:qFormat/>
    <w:rsid w:val="00A83DAA"/>
    <w:pPr>
      <w:spacing w:beforeAutospacing="1" w:afterAutospacing="1"/>
    </w:pPr>
    <w:rPr>
      <w:rFonts w:ascii="Times New Roman" w:eastAsia="Times New Roman" w:hAnsi="Times New Roman" w:cs="Times New Roman"/>
      <w:lang w:val="en-US"/>
    </w:rPr>
  </w:style>
  <w:style w:type="paragraph" w:styleId="BalloonText">
    <w:name w:val="Balloon Text"/>
    <w:basedOn w:val="Normal"/>
    <w:link w:val="BalloonTextChar"/>
    <w:uiPriority w:val="99"/>
    <w:semiHidden/>
    <w:unhideWhenUsed/>
    <w:qFormat/>
    <w:rsid w:val="00A63C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ndico.cern.ch/event/7721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1347</Words>
  <Characters>7683</Characters>
  <Application>Microsoft Office Word</Application>
  <DocSecurity>0</DocSecurity>
  <Lines>64</Lines>
  <Paragraphs>18</Paragraphs>
  <ScaleCrop>false</ScaleCrop>
  <Company/>
  <LinksUpToDate>false</LinksUpToDate>
  <CharactersWithSpaces>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dc:description/>
  <cp:lastModifiedBy>Microsoft Office User</cp:lastModifiedBy>
  <cp:revision>2</cp:revision>
  <dcterms:created xsi:type="dcterms:W3CDTF">2018-12-05T14:10:00Z</dcterms:created>
  <dcterms:modified xsi:type="dcterms:W3CDTF">2018-12-05T14:10:00Z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